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1. Characteristics of adults aged 18 years and older by household ability to afford a meal with meat, chicken or fish every second day, Income and Living Conditions Survey 2025.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6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410" w:hRule="auto"/>
          <w:tblHeader/>
        </w:trPr>
        <w:tc>
          <w:tcPr>
            <w:vMerge w:val="restart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gridSpan w:val="2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gridSpan w:val="2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Can afford</w:t>
            </w:r>
          </w:p>
        </w:tc>
        <w:tc>
          <w:tcPr>
            <w:gridSpan w:val="2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Cannot afford</w:t>
            </w:r>
          </w:p>
        </w:tc>
        <w:tc>
          <w:tcPr>
            <w:vMerge w:val="restart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405" w:hRule="auto"/>
          <w:tblHeader/>
        </w:trPr>
        <w:tc>
          <w:tcPr>
            <w:vMerge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%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%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%</w:t>
            </w:r>
          </w:p>
        </w:tc>
        <w:tc>
          <w:tcPr>
            <w:vMerge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57,899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36,765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21,134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18–29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30–44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17,340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45–64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19,421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18,150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9,670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30,079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diploma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Lower 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Upper 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9,246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Tertiary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Current activity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26,501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19,162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Seeking 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Student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Retired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Unable to work (health)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Domestic tasks or care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17,359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9,612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Household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One 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Couple without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Couple with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20,967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Single parent with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Nuclear family with 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 multi-person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Region (NUTS-1)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Istanbul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 Marmara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Aegean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East Marmara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 Anatolia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Mediterranean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Central Anatolia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 Black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East Black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Northeast Anatolia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Central East Anatolia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Southeast Anatolia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Equivalized income quintile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 (lowest)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9,674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Q5 (highest)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Chronic illness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24,315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33,584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23,156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Activity limitation (GALI)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Severely limited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Limited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limited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41,761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28,382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Self-rated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good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22,133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9,759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18,738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bad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Disability (WG-SS)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52,789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34,341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18,448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Fruit consumption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1–3 times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19,103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4–6 times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19,495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Twice a day or more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Vegetable or salad consumption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1–3 times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15,443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4–6 times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23,552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Twice a day or more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Meat, chicken or fish consumption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Never (vegetarian or vegan)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19,564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Weekly, not 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34,803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25,627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9,176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3,337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2,752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n, unweighted number of adults; %, weighted column percentage (weight FB030). p, Rao–Scott F-adjusted chi-square test accounting for household clustering. Age is age on 31 December of the income reference year (2024).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Ability to afford: HE090 (household questionnaire). Marital status and body mass index in Supplementary Table S1. † Unweighted cell count 20–50; estimate may be unreliable. Cells with n &lt; 20 are not shown.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2026-10-26T03:46:44Z</dcterms:modified>
  <cp:category/>
</cp:coreProperties>
</file>