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Standardized prevalence of low-frequency consumption among adults by household food affordability, Income and Living Conditions Survey 2025.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4"/>
        <w:gridCol w:w="1080"/>
        <w:gridCol w:w="1080"/>
        <w:gridCol w:w="2296"/>
        <w:gridCol w:w="2546"/>
        <w:gridCol w:w="2270"/>
        <w:gridCol w:w="2435"/>
        <w:gridCol w:w="2106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Can afford, % (95% CI)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Cannot afford, % (95% CI)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Difference, pp (95% CI)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Prevalence ratio (95% CI)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Ordinal OR (95% CI)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57,704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19,564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25.2 (24.3, 26.2)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51.7 (49.3, 54.0)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26.5 (23.9, 29.0)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2.05 (1.93, 2.17)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2.98 (2.74, 3.23)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36,725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59.0 (58.1, 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72.1 (70.2, 73.9)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13.1 (11.0, 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(1.18,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1.74 (1.63, 1.85)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57,899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32,326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51.0 (50.0, 52.0)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62.8 (60.6, 64.8)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11.8 (9.3, 14.1)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(1.18, 1.28)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Standardized prevalences from survey-weighted logistic regression with g-computation over the adult population (weight FB030); the model includes affordability interacted with age (natural spline, 4 df), sex, education, equivalized income quintile, region (NUTS-1), household size and number of members aged &lt;18 years.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 CI, percentile intervals from 4,000 household-level Rao–Wu–Yue–Beaumont bootstrap replicates. pp, percentage points. Meat outcome excludes vegetarian or vegan adults (n = 195).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Ordinal OR, odds ratio for a lower consumption-frequency category from survey-weighted proportional odds models with the same covariates (main effects).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Proportional odds assumption not met for vegetables; cut-point-specific odds ratios in Supplementary Table S14.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2026-10-26T03:46:46Z</dcterms:modified>
  <cp:category/>
</cp:coreProperties>
</file>