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Household subjective burden of medical or medicine expenditure by food affordability and chronic illness, Income and Living Conditions Survey 2025: adjustment ladder.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38"/>
        <w:gridCol w:w="1080"/>
        <w:gridCol w:w="1080"/>
        <w:gridCol w:w="1126"/>
        <w:gridCol w:w="1611"/>
        <w:gridCol w:w="1611"/>
        <w:gridCol w:w="1898"/>
        <w:gridCol w:w="1814"/>
        <w:gridCol w:w="1814"/>
      </w:tblGrid>
      <w:tr>
        <w:trPr>
          <w:trHeight w:val="410" w:hRule="auto"/>
          <w:tblHeader/>
        </w:trPr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Crude %</w:t>
            </w:r>
          </w:p>
        </w:tc>
        <w:tc>
          <w:tcPr>
            <w:gridSpan w:val="5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Standardized % or estimate (95% CI)</w:t>
            </w:r>
          </w:p>
        </w:tc>
      </w:tr>
      <w:tr>
        <w:trPr>
          <w:trHeight w:val="405" w:hRule="auto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Minimal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Core + need (main)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Fully adjusted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Flexible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Households (n = 25,835)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afford, no adult with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 (3.3,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 (3.2,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 (3.8,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 (3.8,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 (3.5, 5.0)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afford, adult with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 (6.6,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 (6.6,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 (6.0,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 (6.1,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 (6.1, 7.6)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afford, no adult with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 (6.8,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 (7.0,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 (8.4,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 (8.4,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(8.1, 12.0)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afford, adult with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 (13.2, 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14.5 (13.2, 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12.8 (11.7, 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 (11.5,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11.9 (10.4, 13.6)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Expected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under additivity,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 (10.1, 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 (10.3, 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 (10.4,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 (10.6,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 (10.3, 14.9)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interaction 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 (1.0,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(−1.1,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(−1.5,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−0.7 (−3.3, 1.9)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(0.29,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(0.24,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 (−0.25, 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 (−0.36,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−0.17 (−0.86, 0.43)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Attributable proportion (AP)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 (0.08,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 (0.07,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 (−0.09,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(−0.13,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 (−0.30, 0.15)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ratio, cannot vs can afford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(1.80,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(1.82, 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 (1.78,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 (1.74, 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 (1.67, 2.20)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Product-term odds ratio (logistic)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(0.74,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(0.73,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(0.69,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(0.51, 1.05)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Adults aged 18 years and older (n = 57,899)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afford, no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 (4.2,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 (4.2,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 (4.6,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 (5.2,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 (5.0, 6.5)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afford,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 (6.9, 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 (6.9, 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 (6.1,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(5.1,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 (5.1, 6.8)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afford, no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 (9.4, 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 (9.4, 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 (10.3, 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(11.5, 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 (11.1, 14.9)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afford,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15.5 (14.0, 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 (14.0,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 (12.1, 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 (10.1,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 (9.2, 12.7)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Expected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under additivity,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13.6 (12.2, 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 (12.3,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13.4 (12.0, 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 (11.4,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13.1 (10.9, 15.5)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Additive interaction Δ,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(−1.4,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−1.5 (−3.1,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(−4.7, 0.1)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 (0.09,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 (0.10,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(−0.27,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−0.25 (−0.52,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−0.40 (−0.88, 0.02)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Attributable proportion (AP)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 (0.03,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 (0.03,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(−0.11,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−0.13 (−0.28,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−0.21 (−0.47, 0.01)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ratio, cannot vs can afford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2.15 (1.89,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2.16 (1.88,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 (1.85,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 (1.82,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(1.77, 2.39)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Product-term odds ratio (logistic)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(0.78, 1.08)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(0.78, 1.10)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(0.74, 1.02)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(0.74, 1.04)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(0.56, 1.08)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Outcome: medical care or medicine expenditure in the past 12 months was a heavy burden for the household (MODUL1_H_1 = 1 or MODUL1_H_3 = 1); in the adult block the household outcome is linked to each adult and the modifier is the adult's own chronic illness. n and events unweighted; crude % weighted.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Standardized prevalences from survey-weighted logistic regression with g-computation (households: weight HB040; adults: weight FB030, household clusters). Minimal: affordability × chronic illness, age and sex (households: of the reference person) and equivalized income quintile. Core: adds to the minimal model the number of adults, members aged &lt;18 and ≥65 years, highest education of adults and region (households) or education, region, household size and members aged &lt;18 years (adults). Core + need (main model): adds to the core model the number of adults with activity limitation (households) or the adult's own activity limitation (adults). Fully adjusted: adds the numbers of adults with disability (WG-SS) and with bad self-rated health (households) or self-rated health (adults), which may lie on the pathway from chronic illness. Flexible: fully adjusted model with affordability interacted with every covariate.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Δ =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−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−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+ 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(first subscript affordability, second chronic illness); RERI = Δ/p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; AP = Δ/p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16"/>
                <w:szCs w:val="16"/>
                <w:color w:val="00000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 95% CI, percentile intervals from household-level bootstrap replicates (main model 4,000; other columns 2,000). pp, percentage points. The product-term odds ratio is shown for comparison only.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2026-10-26T03:46:47Z</dcterms:modified>
  <cp:category/>
</cp:coreProperties>
</file>