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S1. Characteristics of households, and marital status and body mass index of adults, by ability to afford a meal with meat, chicken or fish every second day, Income and Living Conditions Survey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10" w:hRule="auto"/>
          <w:tblHeader/>
        </w:trPr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 afford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Cannot afford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05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</w:t>
            </w: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 parent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Nuclear family with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multi-person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Members aged &lt;18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Members aged ≥65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Equivalized income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Q5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 (NUTS-1)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Istanbul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Tenure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Employer-provided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Rent-free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Adult with chronic illness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Adults with activity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Medical care expenditure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Some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such expenditure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Medicine expenditure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Some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such expenditure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Dental care expenditure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Some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such expenditure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Medical or medicine expenditure a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Adults aged 18 years and older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 (18.5–&lt;25)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Overweight (25–&lt;30)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Obesity (≥30)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12,481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7,665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rows: n, unweighted number of households; %, weighted column percentage (household weight HB040); p, Rao–Scott F-adjusted chi-square test. Equivalized income quintiles are defined over persons, so household shares differ from 20%.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Adult rows: n, unweighted number of adults; %, weighted column percentage (weight FB030); p accounts for household clustering. Body mass index from self-reported height and weight; 105 implausible values excluded.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Medical care, medicine and dental care expenditure burden refer to the past 12 months (2025 health module). † Unweighted cell count 20–50. Cells with n &lt; 20 are not shown.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2026-10-26T03:46:46Z</dcterms:modified>
  <cp:category/>
</cp:coreProperties>
</file>