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S10. Household-respondent check: associations of household food affordability with outcomes reported by each adult in the individual questionnaire.</w:t>
      </w:r>
    </w:p>
    <w:tbl xmlns:a="http://schemas.openxmlformats.org/drawingml/2006/main" xmlns:pic="http://schemas.openxmlformats.org/drawingml/2006/picture">
      <w:tblPr>
        <w:tblLayout w:type="fixed"/>
        <w:jc w:val="center"/>
        <w:tblLook w:firstRow="1" w:lastRow="0" w:firstColumn="0" w:lastColumn="0" w:noHBand="0" w:noVBand="1"/>
      </w:tblPr>
      <w:tblGrid>
        <w:gridCol w:w="3045"/>
        <w:gridCol w:w="3714"/>
        <w:gridCol w:w="1080"/>
        <w:gridCol w:w="1080"/>
        <w:gridCol w:w="1881"/>
        <w:gridCol w:w="1881"/>
        <w:gridCol w:w="1611"/>
        <w:gridCol w:w="1701"/>
      </w:tblGrid>
      <w:tr>
        <w:trPr>
          <w:trHeight w:val="415" w:hRule="auto"/>
          <w:tblHeader/>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Respondent</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Events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Can afford,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Cannot afford,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Difference, pp</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Prevalence ratio</w:t>
            </w:r>
          </w:p>
        </w:tc>
      </w:tr>
      <w:tr>
        <w:trPr>
          <w:trHeight w:val="400"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Unmet medical need because of cost</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Other adults (not household reference person)</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29,577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 (0.06, 0.17)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 (0.51, 0.91)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 (0.39, 0.80)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6.16 (3.82, 11.65)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Unmet medical need because of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reference persons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 (0.13,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(0.85,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 (0.62,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5.10 (3.34, 8.55)</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Unmet dental need because of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Other adults (not household reference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0.55 (0.39,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2.07 (1.60,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1.52 (1.01,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3.76 (2.54, 5.74)</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Unmet dental need because of cost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reference persons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 (0.60,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3.77 (3.08,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2.92 (2.16,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4.44 (3.09, 6.58)</w:t>
            </w:r>
          </w:p>
        </w:tc>
      </w:tr>
      <w:tr>
        <w:trPr>
          <w:trHeight w:val="40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specialist visit in past 12 months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Other adults (not household reference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14.41 (13.54, 15.27)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16.06 (14.85, 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1.65 (0.08, 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 (1.01, 1.24)</w:t>
            </w:r>
          </w:p>
        </w:tc>
      </w:tr>
      <w:tr>
        <w:trPr>
          <w:trHeight w:val="41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 specialist visit in past 12 months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Household reference persons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24,925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3,448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14.07 (13.38, 14.82)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16.72 (15.67, 17.83)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2.65 (1.25, 4.05)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 (1.09, 1.30)</w:t>
            </w:r>
          </w:p>
        </w:tc>
      </w:tr>
      <w:tr>
        <w:trPr>
          <w:trHeight w:val="360" w:hRule="auto"/>
        </w:trPr>
        <w:tc>
          <w:tcPr>
            <w:gridSpan w:val="8"/>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6"/>
                <w:szCs w:val="16"/>
                <w:color w:val="000000"/>
              </w:rPr>
            </w:pPr>
            <w:r>
              <w:rPr>
                <w:rFonts w:ascii="Times New Roman" w:hAnsi="Times New Roman" w:eastAsia="Times New Roman" w:cs="Times New Roman"/>
                <w:i w:val="false"/>
                <w:b w:val="false"/>
                <w:u w:val="none"/>
                <w:strike w:val="false"/>
                <w:sz w:val="16"/>
                <w:szCs w:val="16"/>
                <w:color w:val="000000"/>
              </w:rPr>
              <w:t xml:space="preserve">The affordability item is answered for the household; the outcomes come from each adult's individual interview. Adults who are not the household reference person are less likely to have answered the household questionnaire themselves, so their associations are less exposed, but not immune, to same-respondent reporting; the household respondent is not identified in the data. Standardized prevalences from survey-weighted logistic models with g-computation (cost outcomes: age, sex and income quintile because of few events; specialist visits: age spline, sex, income quintile, region, education, activity limitation); 95% CI, 2,000 household bootstrap replicates.</w:t>
            </w:r>
          </w:p>
        </w:tc>
      </w:tr>
    </w:tbl>
    <w:sectPr>
      <w:pgMar w:header="708" w:bottom="1152" w:top="1152" w:right="1152" w:left="1152"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salim</cp:lastModifiedBy>
  <cp:revision>9</cp:revision>
  <dcterms:created xsi:type="dcterms:W3CDTF">2017-02-28T11:18:00Z</dcterms:created>
  <dcterms:modified xsi:type="dcterms:W3CDTF">2026-10-26T03:46:49Z</dcterms:modified>
  <cp:category/>
</cp:coreProperties>
</file>