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S11. Comparison of minimal, core, final and flexible final models.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4"/>
        <w:gridCol w:w="3585"/>
        <w:gridCol w:w="1300"/>
        <w:gridCol w:w="1814"/>
        <w:gridCol w:w="1814"/>
        <w:gridCol w:w="1881"/>
        <w:gridCol w:w="2261"/>
        <w:gridCol w:w="1775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 / level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Parameters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Δ, pp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RERI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Difference, pp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 cannot vs can afford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Product-term OR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Minimal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2.77 (1.04, 4.60)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(0.29, 1.20)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2.02 (1.80, 2.27)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 (0.74, 1.23)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 (sociodemographic, no need indicator)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2.65 (0.89, 4.46)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 (0.24,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2.05 (1.82, 2.31)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(0.73, 1.21)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 + need (main)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 (−1.09, 2.62)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 (−0.25, 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2.01 (1.78, 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 (0.69, 1.14)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Fully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 (−1.51,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 (−0.36, 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 (1.74, 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(0.65, 1.08)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Flexible, fully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−0.72 (−3.32, 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−0.17 (−0.86,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1.92 (1.67,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(0.51, 1.05)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Flexible, core + need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−0.67 (−3.34, 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−0.16 (−0.86, 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1.97 (1.71, 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 (0.51, 1.05)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1.88 (0.42, 3.43)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 (0.09, 0.74)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2.15 (1.89, 2.47)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(0.78, 1.08)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 (sociodemographic, no need indicator)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1.92 (0.47, 3.48)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 (0.10, 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2.16 (1.88, 2.47)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 (0.78, 1.10)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 + need (main)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(−1.39, 1.68)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 (−0.27, 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2.13 (1.85, 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(0.74, 1.02)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Fully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−1.47 (−3.06,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−0.25 (−0.52,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2.10 (1.82, 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(0.74, 1.04)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Flexible, fully 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−2.29 (−4.73,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−0.40 (−0.88,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2.05 (1.77, 2.39)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 (0.56, 1.08)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Flexible, core + need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−0.69 (−2.80,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−0.14 (−0.58, 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2.08 (1.79, 2.43)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 (0.61, 1.02)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24.43 (22.65, 26.39)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 (1.87, 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24.13 (22.24, 26.10)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1.95 (1.85, 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Final (main effects)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24.13 (22.24, 26.10)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1.95 (1.85, 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Meat, chicken or fish less than 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Final, flexible (main)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26.46 (23.93, 29.00)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2.05 (1.93, 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12.43 (10.79, 14.05)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(1.18,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12.60 (10.96, 14.27)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(1.18,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Final (main effects)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12.60 (10.96, 14.27)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(1.18,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Fruit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Final, flexible (main)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13.09 (10.98, 15.09)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 (1.18,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10.12 (8.32, 11.92)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(1.16,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10.58 (8.76, 12.40)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(1.17,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Final (main effects)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10.58 (8.76, 12.40)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(1.17,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Vegetables or salad less than once a day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Final, flexible (main)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11.76 (9.25, 14.08)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1.23 (1.18, 1.28)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Hypothesis 1 rows: household (weight HB040) and adult (weight FB030, household clusters) burden of medical or medicine expenditure; Hypothesis 2 rows: low-frequency consumption. Minimal: age, sex and income quintile (household: reference person); core: all sociodemographic covariates of the analysis plan (in addition to the minimal covariates, number of adults, members aged &lt;18 and ≥65 years, highest education of adults and region for households; education, region, household size and members aged &lt;18 years for adults) without a need indicator; core + need (main model for Hypothesis 1): core plus the number of adults with activity limitation (households) or the adult's own activity limitation (adults); final: core plus need plus the covariates selected by the change-in-estimate rule (for Hypothesis 2, core plus the selected covariates; none was selected); flexible: final model with affordability interacted with every covariate (the main model for Hypothesis 2 under the refined model-form rule and a sensitivity model for Hypothesis 1). 95% CI, bootstrap percentiles.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2026-10-26T03:46:49Z</dcterms:modified>
  <cp:category/>
</cp:coreProperties>
</file>