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S12. Covariate selection by the change-in-estimate rule.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3232"/>
        <w:gridCol w:w="1625"/>
        <w:gridCol w:w="1505"/>
        <w:gridCol w:w="1185"/>
        <w:gridCol w:w="1080"/>
        <w:gridCol w:w="1486"/>
        <w:gridCol w:w="1080"/>
        <w:gridCol w:w="2545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Candidate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 before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 after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 before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 after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 change,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Wald 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HB050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wg_engellilik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HB050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wg_engellilik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HB050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wg_engellilik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H2: 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households,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n_calisan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households,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households,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HB050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households,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FB100_reis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households,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wg_engellilik_sayi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Included (change in estimate)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households,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FS010_kotu_sayi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Included (change in estimate)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households,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wg_engellilik_sayi + FS010_kotu_sayi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Joint addition (selected kept)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adults,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Included (change in estimate)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adults,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adults,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adults,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adults,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HB050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H1: adults, Δ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wg_engellilik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included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Each candidate was added one at a time to the core (+ need) model. Estimate: standardized prevalence difference in percentage points for Hypothesis 2 and additive interaction Δ for Hypothesis 1; PR, standardized prevalence ratio of affordability. Inclusion rule: change in the difference ≥0.5 pp (Hypothesis 2) or in Δ ≥0.25 pp (Hypothesis 1), or relative change in PR ≥10%; candidates with design-based Wald p &lt; 0.05 could also enter if they reduced the standard error by &gt;5%. Stepwise selection by p values was not used.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2026-10-26T03:46:50Z</dcterms:modified>
  <cp:category/>
</cp:coreProperties>
</file>