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S13. Standardized prevalence of low-frequency consumption by food affordability within equivalized income quintiles, and comparison between food groups.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44"/>
        <w:gridCol w:w="1616"/>
        <w:gridCol w:w="2011"/>
        <w:gridCol w:w="1526"/>
        <w:gridCol w:w="1776"/>
        <w:gridCol w:w="2764"/>
        <w:gridCol w:w="1611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Income quintile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can / cannot afford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Can afford, %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Cannot afford, %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Difference, pp (95% CI)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 (95% CI)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less than once a week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adults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36,680 / 21,024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26.5 (23.9, 29.0)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2.05 (1.93, 2.17)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 (lowest)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3,265 / 8,503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28.1 (24.2, 32.2)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1.94 (1.74, 2.20)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5,499 / 6,219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23.9 (20.0, 27.3)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1.82 (1.64, 2.01)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7,378 / 4,050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21.3 (17.7, 25.0)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1.73 (1.58, 1.91)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9,653 / 1,906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 (19.9, 28.3)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2.00 (1.80, 2.22)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Q5 (highest)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10,885 / 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34.7 (26.2, 42.8)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3.18 (2.61, 3.76)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36,765 / 21,134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13.1 (11.0, 15.1)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 (1.18, 1.26)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 (lowest)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3,269 / 8,540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11.5 (7.8, 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 (1.12, 1.25)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5,509 / 6,257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12.9 (9.6, 16.0)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 (1.15, 1.28)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7,397 / 4,070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11.5 (8.4, 14.5)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 (1.14, 1.25)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9,674 / 1,920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11.8 (8.4, 15.3)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 (1.14, 1.27)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Q5 (highest)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10,916 / 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17.2 (10.2, 23.5)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 (1.18, 1.43)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36,765 / 21,134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11.8 (9.3, 14.1)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1.23 (1.18, 1.28)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 (lowest)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3,269 / 8,540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10.4 (6.5, 14.5)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 (1.10, 1.26)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5,509 / 6,257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10.7 (7.0, 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 (1.13, 1.28)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7,397 / 4,070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8.9 (5.2, 12.3)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 (1.10, 1.24)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9,674 / 1,920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9.3 (5.3, 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 (1.11, 1.28)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Q5 (highest)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10,916 / 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18.8 (10.8, 25.7)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 (1.24, 1.59)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Comparison: meat vs fruit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(0.72, 0.94); p = 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1.68 (1.59, 1.77)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Comparison: meat vs fruit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13.37 (10.89, 15.85); p = 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2.02 (1.76, 2.37)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Comparison: meat vs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(0.71, 0.93); p = 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1.66 (1.57, 1.77)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Comparison: meat vs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14.70 (11.89, 17.48); p = 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2.25 (1.88, 2.79)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Comparison: fruit vs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−0.01 (−0.05, 0.03); p = 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(0.96, 1.02)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Comparison: fruit vs vegetables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adults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1.33 (−0.52, 3.19); p = 0.155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 (0.96, 1.31)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Standardized prevalences from the flexible survey-weighted logistic model (affordability interacted with all covariates, including income quintile), standardized to the adults of each quintile. 95% CI, bootstrap percentiles (4,000 replicates).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Comparison rows: difference and ratio of the prevalence ratios (or prevalence differences) of two food groups computed within each paired bootstrap replicate; p, two-sided bootstrap p value. Exploratory.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2026-10-26T03:46:50Z</dcterms:modified>
  <cp:category/>
</cp:coreProperties>
</file>