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S14. Ordinal models of consumption frequency and proportional odds check.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4"/>
        <w:gridCol w:w="2311"/>
        <w:gridCol w:w="2278"/>
        <w:gridCol w:w="1611"/>
        <w:gridCol w:w="1080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 (95% CI)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Proportional odds (svyolr)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2.98 (2.74, 3.23)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Cut-point logistic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&lt;= Weekly, not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2.36 (1.95, 2.87)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54,367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Cut-point logistic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&lt;=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3.01 (2.76, 3.28)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19,564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Proportional odds (svyolr)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1.74 (1.63,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Cut-point logistic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&lt;=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 (1.20,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56,220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Cut-point logistic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&lt;= 4–6 times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1.79 (1.66,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36,725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Cut-point logistic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&lt;= 1–3 times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1.74 (1.62, 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24,841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Cut-point logistic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&lt;=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1.71 (1.53,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5,738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Cut-point logistic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&lt;= 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 (1.24, 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Proportional odds (svyolr)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(1.47,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Cut-point logistic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&lt;=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 (1.26,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55,878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Cut-point logistic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&lt;= 4–6 times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 (1.45,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32,326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Cut-point logistic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&lt;= 1–3 times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 (1.44,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18,927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Cut-point logistic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&lt;=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 (1.44, 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3,484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Cut-point logistic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&lt;= Never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(0.76, 1.57)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306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Odds ratios for less frequent consumption among adults in households that cannot afford the meal. Cut-point models: binary logistic regression of consumption at or below the stated frequency; same covariates as the main-effects model. Proportional odds was judged violated if cut-point odds ratios differed by &gt;30% or their CIs did not overlap (vegetables).</w:t>
            </w:r>
          </w:p>
        </w:tc>
      </w:tr>
    </w:tbl>
    <w:sectPr>
      <w:pgMar w:header="708" w:bottom="1152" w:top="1152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2026-10-26T03:46:51Z</dcterms:modified>
  <cp:category/>
</cp:coreProperties>
</file>