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S15. Share unable to afford a meal with meat, chicken or fish every second day, 2023–2025, households and persons, % (95% CI).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5"/>
        <w:gridCol w:w="1706"/>
        <w:gridCol w:w="1706"/>
        <w:gridCol w:w="1706"/>
        <w:gridCol w:w="1611"/>
        <w:gridCol w:w="1611"/>
        <w:gridCol w:w="161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Households 2023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Households 2024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Households 2025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Persons 2023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Persons 2024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Persons 2025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 (36.7, 38.1)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38.3 (37.6, 39.0)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 (36.3, 37.7)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(38.3, 40.0)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39.3 (38.5, 40.2)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35.1 (34.3, 35.9)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excluding TR63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 (36.7, 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 (36.9, 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 (35.6, 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(38.3, 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38.6 (37.7, 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 (33.7, 35.3)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Q1 (lowest)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68.7 (67.1, 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69.6 (68.0, 71.1)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74.0 (72.5, 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68.2 (66.3, 70.0)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69.1 (67.2, 70.9)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72.1 (70.2, 73.9)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Q2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52.7 (51.1, 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54.2 (52.6, 55.7)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57.3 (55.7, 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52.5 (50.5, 54.5)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53.0 (51.0, 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51.4 (49.5, 53.4)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Q3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(40.0, 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42.9 (41.3, 44.5)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41.9 (40.3, 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 (37.8, 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39.7 (37.8, 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32.9 (31.2, 34.6)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Q4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28.2 (26.7, 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 (25.7, 28.6)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24.0 (22.6, 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25.8 (24.2, 27.4)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24.8 (23.2, 26.5)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16.1 (14.9, 17.3)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Income Q5 (highest)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10.8 (9.8, 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11.5 (10.5, 12.6)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 (3.9, 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9.6 (8.6, 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10.1 (9.1, 11.2)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 (2.4, 3.4)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Aegean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 (33.6, 37.1)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35.2 (33.5, 37.0)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33.8 (32.1, 35.5)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36.7 (34.6, 38.9)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36.1 (34.0, 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 (29.1, 33.0)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30.4 (28.0, 32.9)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37.3 (34.8, 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(35.3, 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30.1 (27.3, 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36.2 (33.0, 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34.5 (31.4, 37.7)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Central 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40.4 (37.7, 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 (35.5, 40.8)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44.6 (41.9, 47.3)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46.2 (43.0, 49.5)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43.3 (40.0, 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46.3 (42.9, 49.7)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50.4 (46.9, 54.0)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50.8 (47.3, 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48.8 (45.3, 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 (46.2, 54.8)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50.5 (46.2, 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45.4 (41.2, 49.7)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East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32.0 (29.9, 34.1)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 (28.5, 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27.2 (25.2, 29.2)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 (29.8, 34.9)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 (27.2, 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22.6 (20.6, 24.8)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Istanbul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 (32.0, 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35.2 (33.1, 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31.7 (29.7, 33.7)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34.8 (32.5, 37.2)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 (33.7, 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 (27.6, 32.1)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 (45.1, 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47.6 (45.5, 49.6)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43.2 (41.2, 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48.6 (45.8, 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48.5 (46.1, 51.0)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 (38.3, 43.0)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Northeast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41.6 (39.2, 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37.8 (35.4, 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42.7 (40.2, 45.2)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42.6 (39.8, 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 (34.6, 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 (38.2, 44.0)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Southeast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52.4 (50.1, 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53.7 (51.4, 55.9)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52.8 (50.6, 55.0)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56.1 (53.4, 58.7)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55.8 (53.1, 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51.9 (49.3, 54.5)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Anatolia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32.1 (30.1, 34.2)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 (29.0, 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31.1 (29.0, 33.2)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32.8 (30.4, 35.4)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 (27.5, 32.3)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27.6 (25.3, 30.0)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Black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33.9 (31.8, 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38.1 (35.8, 40.3)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41.0 (38.8, 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 (29.9, 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35.2 (32.5, 38.1)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35.8 (33.1, 38.6)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West Marmara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34.0 (31.5, 36.6)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35.3 (32.8, 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37.5 (35.0, 40.1)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33.4 (30.6, 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35.4 (32.5, 38.4)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33.3 (30.6, 36.2)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 (35.2, 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 (35.3, 37.4)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30.8 (29.9, 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(37.4, 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38.5 (37.4, 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 (31.6, 33.7)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Couple without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 (32.7, 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 (34.8, 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 (36.6, 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34.2 (32.7, 35.7)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36.3 (34.8, 37.8)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 (36.6, 39.5)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Nuclear family with 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40.3 (37.7, 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39.1 (36.5, 41.8)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32.6 (30.1, 35.1)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41.7 (38.9, 44.6)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40.2 (37.3, 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32.1 (29.4, 34.8)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One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 (35.6, 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 (38.8, 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 (47.1, 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37.4 (35.6, 39.2)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40.6 (38.8, 42.4)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48.9 (47.1, 50.7)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multi-person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37.6 (31.3, 44.3)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35.7 (29.9, 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 (25.3, 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40.0 (33.3, 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37.9 (31.5, 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30.5 (24.8, 36.9)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 parent with children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48.4 (45.9, 51.0)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49.1 (46.6, 51.7)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46.9 (44.5, 49.3)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49.3 (46.5, 52.1)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49.9 (47.1, 52.7)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47.3 (44.6, 50.0)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Households weighted by HB040; persons (all ages) weighted by FK050 with household clusters; each survey year estimated separately (repeated cross-sections, not pooled). The 2023 survey has no households from TR63 (Hatay, Kahramanmaraş, Osmaniye); 'Total excluding TR63' restricts 2024 and 2025 to the 25 regions covered in 2023. Person-level totals equal the Eurostat ilc_mdes03 values for Türkiye (39.1, 39.3, 35.1).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2026-10-26T03:46:51Z</dcterms:modified>
  <cp:category/>
</cp:coreProperties>
</file>