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S16. Standardized prevalence difference of low-frequency consumption by food affordability within NUTS-1 regions (exploratory).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4"/>
        <w:gridCol w:w="1960"/>
        <w:gridCol w:w="2011"/>
        <w:gridCol w:w="2270"/>
        <w:gridCol w:w="1611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can / cannot afford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Difference, pp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Istanbul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3,633 / 1,506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30.5 (25.1, 35.8)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 (2.03, 2.65)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2,194 / 1,115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 (27.1, 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2.68 (2.25, 3.18)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Aegean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4,883 / 2,205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22.4 (17.3, 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(1.47, 1.80)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3,786 / 1,146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21.8 (16.0, 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(1.60, 2.14)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3,566 / 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 (18.3, 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2.15 (1.83, 2.54)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Mediterranean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3,650 / 2,397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29.3 (24.6, 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2.40 (2.09, 2.80)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2,279 / 1,186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 (21.4, 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 (1.76, 2.52)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3,611 / 1,969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 (27.6, 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2.28 (1.99, 2.62)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1,035 / 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 (8.1, 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 (1.22, 1.86)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2,475 / 1,694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15.9 (10.8, 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 (1.59, 2.52)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2,162 / 1,937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 (19.1, 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1.76 (1.50, 2.13)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3,406 / 3,545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 (21.1, 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 (1.78, 2.56)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Istanbul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3,655 / 1,514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 (11.0, 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(1.17, 1.30)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2,203 / 1,127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 (5.0,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(1.07, 1.22)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Aegean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4,890 / 2,219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 (6.1, 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(1.13, 1.33)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3,792 / 1,148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 (4.5, 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(1.06, 1.19)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3,570 / 1,353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 (7.7,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(1.12, 1.30)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Mediterranean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3,660 / 2,416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 (11.9, 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(1.23, 1.42)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2,282 / 1,192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 (7.6, 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(1.13, 1.37)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3,622 / 1,986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 (7.8, 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(1.13, 1.31)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1,040 / 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 (−2.8,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(0.95, 1.21)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2,477 / 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 (7.5,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(1.10, 1.25)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2,162 / 1,942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 (11.5, 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(1.16, 1.36)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3,412 / 3,554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16.8 (11.9, 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(1.20, 1.39)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Istanbul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3,655 / 1,514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 (8.4, 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(1.17, 1.40)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2,203 / 1,127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 (−2.7,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(0.96, 1.15)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Aegean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4,890 / 2,219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 (4.5, 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(1.10, 1.33)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3,792 / 1,148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 (0.5,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(1.01, 1.19)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3,570 / 1,353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(7.3, 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(1.13, 1.36)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Mediterranean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3,660 / 2,416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 (13.1, 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(1.30, 1.55)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2,282 / 1,192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 (4.4, 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(1.09, 1.40)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3,622 / 1,986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 (3.2,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(1.07, 1.33)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1,040 / 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 (−2.1,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(0.97, 1.22)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2,477 / 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 (0.7,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(1.01, 1.20)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2,162 / 1,942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19.2 (13.0, 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(1.21, 1.46)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Southeast Anatolia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3,412 / 3,554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 (11.3, 21.5)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(1.19, 1.40)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Effect-modification screen (protocol step 6): affordability × region interaction Wald p &lt; 0.01 for all three outcomes. Estimates from the flexible survey-weighted logistic model standardized to the adults of each region; 95% CI, bootstrap percentiles (2,000 replicates). The national estimate remains the main result. † 20–50 adults in a group.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2026-10-26T03:46:52Z</dcterms:modified>
  <cp:category/>
</cp:coreProperties>
</file>