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S17. Household subjective burden of medical or medicine expenditure by food affordability and activity limitation (exploratory).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79"/>
        <w:gridCol w:w="1080"/>
        <w:gridCol w:w="1080"/>
        <w:gridCol w:w="1126"/>
        <w:gridCol w:w="1615"/>
        <w:gridCol w:w="2594"/>
      </w:tblGrid>
      <w:tr>
        <w:trPr>
          <w:trHeight w:val="41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Crude %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Standardized % or estimate (95% CI)</w:t>
            </w:r>
          </w:p>
        </w:tc>
      </w:tr>
      <w:tr>
        <w:trPr>
          <w:trHeight w:val="405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+ Adults with chronic illness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(n = 25,835)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no adult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 (3.8,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(4.2, 5.3)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adult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 (7.4,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 (6.6, 8.3)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no adult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 (7.8,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 (8.3, 10.6)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adult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 (15.0, 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 (13.2, 16.3)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Expected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under additivity,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 (11.5,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 (10.7, 13.6)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(1.8,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 (0.8, 4.4)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(0.42,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(0.16, 0.95)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Attributable proportion (AP)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(0.11,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(0.05, 0.28)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ratio, cannot vs 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 (1.81, 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(1.77, 2.25)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cannot vs can afford: no adult with activity limitation,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 (3.4,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(3.5, 6.0)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cannot vs can afford: adult with activity limitation, pp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 (6.5, 10.1)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 (5.7, 9.0)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analysis. Modifier: at least one adult in the household with a long-standing limitation in usual activities because of health problems (GALI, FS030 = 1 or 2). Outcome as in Table 3. n and events unweighted; crude % weighted (HB040).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prevalences from survey-weighted main-effects logistic regression with g-computation. Core covariates: equivalized income quintile, number of adults, members aged &lt;18 and ≥65 years, age and sex of the reference person, highest education of adults and region; the number of adults with activity limitation is not included because it defines the modifier. Second column: additionally adjusted for the number of adults with chronic illness (0, 1, 2, ≥3); this column was added after the first had been inspected.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Δ =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−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−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+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(first subscript affordability, second activity limitation); RERI = Δ/p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; AP = Δ/p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 95% CI, percentile intervals from 2,000 household-level bootstrap replicates. pp, percentage points.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2026-10-26T03:46:52Z</dcterms:modified>
  <cp:category/>
</cp:coreProperties>
</file>