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S2. Fit statistics of latent class models with 1 to 6 classes, adults aged 18 years and older.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531"/>
        <w:gridCol w:w="1300"/>
        <w:gridCol w:w="1131"/>
        <w:gridCol w:w="1131"/>
        <w:gridCol w:w="1131"/>
        <w:gridCol w:w="1080"/>
        <w:gridCol w:w="1736"/>
        <w:gridCol w:w="2110"/>
        <w:gridCol w:w="1080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Classes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Parameters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aBIC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CAIC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Entropy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Smallest class,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Best LL replicated,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BLRT p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ortak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−226,612.3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453,345.3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453,310.3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453,356.3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−209,749.3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419,750.9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419,677.8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419,773.9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−201,716.5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403,816.8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403,705.6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403,851.8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−197,812.0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396,139.5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395,990.1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396,186.5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−197,768.5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396,184.1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395,996.6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396,243.1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ortak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−197,735.7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396,250.1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396,024.4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396,321.1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−229,450.4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458,999.5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458,970.9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459,008.5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−211,868.8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423,946.0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423,885.6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423,965.0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−203,593.5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407,505.0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407,412.8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407,534.0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−199,583.8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399,595.3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399,471.3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399,634.3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−198,657.3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397,852.0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397,696.3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397,901.0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dort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−198,120.8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396,888.7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396,701.2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396,947.7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Weighted (FB030) latent class models estimated with StepMix; LL, log-likelihood of the best of the random starts; BIC, Bayesian information criterion; aBIC, sample-size adjusted BIC; CAIC, consistent Akaike information criterion; entropy, relative entropy; best LL replicated, share of random starts reaching the best log-likelihood; BLRT, bootstrap likelihood ratio test of K vs K − 1 classes.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labels as in the analysis log; the main model is described in the Methods notes.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2026-10-26T03:46:53Z</dcterms:modified>
  <cp:category/>
</cp:coreProperties>
</file>