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0"/>
          <w:szCs w:val="20"/>
          <w:color w:val="000000"/>
        </w:rPr>
        <w:t xml:space="preserve">Table S3. Item-response probabilities and weighted class shares of the 4-class model.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6129"/>
        <w:gridCol w:w="2795"/>
        <w:gridCol w:w="3045"/>
        <w:gridCol w:w="3455"/>
        <w:gridCol w:w="4105"/>
        <w:gridCol w:w="4250"/>
      </w:tblGrid>
      <w:tr>
        <w:trPr>
          <w:trHeight w:val="415" w:hRule="auto"/>
          <w:tblHeader/>
        </w:trPr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Indicator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Category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Daily fruit and vegetables (39.8%)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Near-daily fruit and vegetables (25.9%)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Weekly (1–3 times) fruit and vegetables (27.8%)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Very infrequent fruit, vegetables and meat (6.6%)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Affordability of a protein meal x meat, chicken or fish frequency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Can afford; &lt;1/week or never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0.31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Affordability of a protein meal x meat, chicken or fish frequency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Can afford; Weekly, not daily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Affordability of a protein meal x meat, chicken or fish frequency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Can afford; Daily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Affordability of a protein meal x meat, chicken or fish frequency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Cannot afford; &lt;1/week or never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0.51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Affordability of a protein meal x meat, chicken or fish frequency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Cannot afford; Weekly, not daily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Affordability of a protein meal x meat, chicken or fish frequency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Cannot afford; Daily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Fruit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Never or &lt;1/week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0.88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Fruit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1–3 times/week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Fruit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4–6 times/week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Fruit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Daily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Vegetables or salad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Never or &lt;1/week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0.68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Vegetables or salad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1–3 times/week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0.11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Vegetables or salad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4–6 times/week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Vegetables or salad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Daily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Can afford a protein meal every second day (household; marginal of joint item)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Can afford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0.42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Can afford a protein meal every second day (household; marginal of joint item)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Cannot afford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0.58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Meat, chicken or fish (from joint item)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&lt;1/week or never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0.82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Meat, chicken or fish (from joint item)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Weekly, not daily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0.15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Meat, chicken or fish (from joint item)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Daily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Meat, chicken or fish | can afford (from joint item)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&lt;1/week or never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0.74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Meat, chicken or fish | can afford (from joint item)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Weekly, not daily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0.20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Meat, chicken or fish | can afford (from joint item)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Daily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Meat, chicken or fish | cannot afford (from joint item)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&lt;1/week or never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0.88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Meat, chicken or fish | cannot afford (from joint item)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Weekly, not daily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0.11</w:t>
            </w:r>
          </w:p>
        </w:tc>
      </w:tr>
      <w:tr>
        <w:trPr>
          <w:trHeight w:val="41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Meat, chicken or fish | cannot afford (from joint item)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Daily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Probabilities of each indicator category within each latent class; column headers give the weighted class share (FB030). Neighbouring solutions (K − 1 and K + 1 classes) are in Results/lca_madde_olasiliklari.csv and the workbook.</w:t>
            </w:r>
          </w:p>
        </w:tc>
      </w:tr>
    </w:tbl>
    <w:sectPr>
      <w:pgMar w:header="708" w:bottom="1152" w:top="1152" w:right="1152" w:left="1152" w:footer="708" w:gutter="0"/>
      <w:pgSz w:h="11906" w:w="1683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salim</cp:lastModifiedBy>
  <cp:revision>9</cp:revision>
  <dcterms:created xsi:type="dcterms:W3CDTF">2017-02-28T11:18:00Z</dcterms:created>
  <dcterms:modified xsi:type="dcterms:W3CDTF">2026-10-26T03:46:53Z</dcterms:modified>
  <cp:category/>
</cp:coreProperties>
</file>