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S4b. Class membership by covariates: multinomial model with three-step BCH correction.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9"/>
        <w:gridCol w:w="2410"/>
        <w:gridCol w:w="1332"/>
        <w:gridCol w:w="1611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Class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 (95% CI)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(1.00, 1.70)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(0.72, 0.99)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(0.67, 0.94)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(0.57, 0.81)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(0.50, 0.69)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age=2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(0.84, 1.01)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(0.77, 0.92)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age=4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(0.73, 0.96)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sex=2.0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(0.88, 0.97)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(0.81, 1.01)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(0.81, 1.08)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(0.69, 0.92)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(0.76, 1.04)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(0.97, 1.42)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 (0.35, 0.49)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(1.28, 1.82)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(0.94, 1.32)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(0.60, 0.84)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(0.56, 0.85)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(0.51, 0.77)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(1.03, 1.63)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(0.67, 1.09)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(0.95, 1.57)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 (0.54, 0.83)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(0.94, 1.44)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(0.56, 1.20)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(0.90, 1.18)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(0.91, 1.19)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(0.80, 1.18)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4.55 (3.68, 5.90)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(0.55, 0.74)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 (0.45, 0.61)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 (0.30, 0.41)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 (0.19, 0.27)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age=2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(0.86, 1.03)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(0.75, 0.89)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age=4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 (0.58, 0.77)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sex=2.0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(0.75, 0.83)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(0.68, 0.84)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(0.64, 0.85)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(0.61, 0.79)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(0.56, 0.74)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(1.07, 1.56)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 (0.57, 0.76)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(1.04, 1.48)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(0.52, 0.77)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 (0.40, 0.56)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(0.48, 0.73)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(0.60, 0.86)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(0.62, 1.06)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(0.99, 1.59)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(1.00, 1.62)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 (0.68, 1.05)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(0.57, 0.83)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(0.56, 1.20)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(0.59, 0.78)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 (0.57, 0.75)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(0.82, 1.16)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4.46 (2.98, 6.60)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 (0.37, 0.55)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 (0.27, 0.43)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 (0.16, 0.27)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income=5.0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 (0.09, 0.18)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age=2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(0.62, 0.87)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(0.50, 0.70)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age=4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 (0.36, 0.57)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sex=2.0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 (0.60, 0.72)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 (0.48, 0.65)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 (0.40, 0.60)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 (0.28, 0.43)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education=5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 (0.20, 0.36)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(0.68, 1.35)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(0.24, 0.49)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(0.71, 1.48)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 (0.86, 1.46)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 (0.19, 0.41)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(0.80, 1.56)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 (0.41, 0.75)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(0.34, 0.94)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 (1.65, 3.03)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 (1.09, 2.02)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region=TRC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(0.71, 1.35)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(0.40, 0.73)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 (0.27, 0.93)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 (0.30, 0.49)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 (0.34, 0.53)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Daily fruit and vegetables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hhtype=23.0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(0.69, 1.21)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2026-10-26T03:46:55Z</dcterms:modified>
  <cp:category/>
</cp:coreProperties>
</file>