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S5. Unmet need for medical and dental care, reasons, specialist visits and dental expenditure burden by household food affordability.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78"/>
        <w:gridCol w:w="1611"/>
        <w:gridCol w:w="1611"/>
        <w:gridCol w:w="2270"/>
        <w:gridCol w:w="1611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Item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 afford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Cannot afford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Difference, pp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 (95% CI)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Main reason for unmet medical need, adults with a medical care need, % (95% CI)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 (0.29,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2.46 (2.15, 2.77)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System (distance, waiting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4.46 (4.05, 4.86)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5.40 (4.81, 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Personal (time, fear, wait-and-see, other)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 (1.28,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1.69 (1.42,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 (0.18,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2.04 (1.74, 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System (distance, waiting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6.19 (5.72, 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8.32 (7.67, 8.96)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Personal (time, fear, wait-and-see, other)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(0.76,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(1.14,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 (0.08,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(1.01,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System (distance, waiting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4.42 (4.06, 4.77)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6.23 (5.69, 6.78)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Personal (time, fear, wait-and-see, other)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(1.18,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 (1.47,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Standardized prevalence, 2025, %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need because of cost (adults with a medical care need), all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 (0.52, 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5.34 (3.66, 8.54)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 within stratum: no chronic illness (events 19 / 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&lt;20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 (0.40,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0.48 (0.32, 0.65)‡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 within stratum: chronic illness (events 35 / 182)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 (0.16,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(0.99,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1.01 (0.69,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interaction Δ with chronic illness, pp (exploratory; reference cell &lt;20 events)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 (0.19, 0.90)‡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Unmet medical or dental need because of cost (adults with a medical or dental care need), all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 (1.23,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4.25 (3.33, 5.56)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 within stratum: no chronic illness (events 70 / 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 (0.23,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1.64 (1.34,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1.31 (1.00,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 within stratum: chronic illness (events 81 / 332)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 (0.49,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2.49 (2.07, 2.95)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1.82 (1.38, 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interaction Δ with chronic illness, pp (exploratory)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 (0.01,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specialist visit in past 12 months, adults with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 (8.0,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 (9.6,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(1.07, 1.39)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specialist visit, routing blanks counted as no visit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 (9.8, 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 (11.5, 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(0.7,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(1.06, 1.33)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Dental expenditure a heavy burden,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 (3.9,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 (6.3,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 (1.8,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1.64 (1.40, 1.92)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Dental expenditure a heavy burden, households with dental expenditure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 (5.8,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 (9.7,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 (3.0,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1.69 (1.45, 1.96)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dental expenditure in past 12 months, households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33.0 (32.1, 33.9)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34.2 (33.0, 35.5)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 (−0.3, 2.8)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(0.99, 1.09)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Reasons: adults aged 18+ reporting a medical care need in each survey year (FS050 = 1 or 2); cost = FS060 code 1; system = distance or transport (3) and late appointment (5); personal = time, fear, waiting for the problem to resolve, not knowing a good doctor, other (2, 4, 6, 7, 8). Weighted % with 95% CI (household clusters).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 prevalences (2025) from survey-weighted logistic models with g-computation; covariates for unmet need: age spline, sex, income quintile, region, education; specialist visits: core adult covariates and activity limitation; dental burden: household main-model covariates (core + need) and chronic illness. Differences within chronic-illness strata (bold) are the primary contrasts for unmet need; Δ is exploratory. 95% CI, bootstrap percentiles (2,000 replicates). Cells with &lt;20 events are not shown separately; their model-based values enter the contrasts. † 20–50 observations. ‡ Uses the reference cell (can afford, no chronic illness) with 19 events.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2026-10-26T03:46:47Z</dcterms:modified>
  <cp:category/>
</cp:coreProperties>
</file>