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S7. Plasmode simulation: performance of estimators of the additive interaction Δ on the 2025 household and adult samples.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5"/>
        <w:gridCol w:w="1080"/>
        <w:gridCol w:w="2590"/>
        <w:gridCol w:w="1080"/>
        <w:gridCol w:w="4505"/>
        <w:gridCol w:w="1080"/>
        <w:gridCol w:w="1080"/>
        <w:gridCol w:w="1446"/>
        <w:gridCol w:w="2301"/>
        <w:gridCol w:w="1140"/>
        <w:gridCol w:w="1495"/>
        <w:gridCol w:w="2185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True Δ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Response bias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ICC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Estimator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Empirical 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 SE / empirical 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Rejection rate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Product-term rejection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(×1.3)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false positives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 logistic g-computation (H1 main estimator)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 g-computation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product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Household-clustered 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 ignoring clustering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Household-clustered 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 ignoring clustering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Household-clustered 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 ignoring clustering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Household-clustered 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 ignoring clustering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 (bootstrap)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Main-effects, delta-method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 (bootstrap)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Main-effects, percentile bootstrap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 (bootstrap)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Main-effects, delta-method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 (bootstrap)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Main-effects, percentile bootstrap CI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 generated on the additive scale on the real 2025 data (covariates, exposure, modifier and weights fixed): p = baseline + βA·A + βC·C + Δ·A·C, truncated to [0.005, 0.95]. Bias and SE in percentage points; coverage of nominal 95% intervals; rejection rate of two-sided 5% tests (type I error when Δ = 0, power otherwise); product-term rejection: Wald test of the logistic product term (or of the LPM product term). Adult scenarios induce household dependence via a Gaussian copula with latent intraclass correlation (ICC). Replicates: 2,000 (Δ = 0), 1,000 otherwise; bootstrap rows 200 data sets × 200 replicates.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2026-10-26T03:46:56Z</dcterms:modified>
  <cp:category/>
</cp:coreProperties>
</file>