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S9. Exploratory analysis: unmet medical need because of cost by food affordability and fruit and vegetable consumption (adults reporting a medical care need).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0"/>
        <w:gridCol w:w="1080"/>
        <w:gridCol w:w="1080"/>
        <w:gridCol w:w="2436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Standardized %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daily fruit and vegetables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13,051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&lt;20 events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not both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 (0.11, 0.25)†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(0.35, 0.87)†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not both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(0.79, 1.20)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(−0.02, 0.63)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Difference cannot vs can afford (pp)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(0.54, 0.90)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ratio cannot vs 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 (3.88, 8.88)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 per model parameter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Survey-weighted logistic model with affordability × fruit and vegetable consumption, age spline, sex, income quintile and region; g-computation; 95% CI from 2,000 household bootstrap replicates. The cell with &lt;20 events is not shown separately; Δ uses its model-based value and is exploratory. † 20–50 events.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 odds ratio of the product term: survey-weighted -0.03; unweighted maximum likelihood -0.06; unweighted Firth -0.04.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2026-10-26T03:46:48Z</dcterms:modified>
  <cp:category/>
</cp:coreProperties>
</file>