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132238"/>
          <w:sz w:val="60"/>
        </w:rPr>
        <w:t>创世工坊 WorldForge</w:t>
      </w:r>
    </w:p>
    <w:p>
      <w:pPr>
        <w:jc w:val="center"/>
      </w:pPr>
      <w:r>
        <w:t>V6.5 实施安全、并发与高分屏适配冻结最终工程设计文档</w:t>
      </w:r>
    </w:p>
    <w:p>
      <w:pPr>
        <w:jc w:val="center"/>
      </w:pPr>
      <w:r>
        <w:t>Local-first · Author-controlled · Quiet Editorial UI</w:t>
      </w:r>
    </w:p>
    <w:p/>
    <w:p>
      <w:pPr>
        <w:jc w:val="center"/>
      </w:pPr>
      <w:r>
        <w:drawing>
          <wp:inline xmlns:a="http://schemas.openxmlformats.org/drawingml/2006/main" xmlns:pic="http://schemas.openxmlformats.org/drawingml/2006/picture">
            <wp:extent cx="6120000" cy="2952000"/>
            <wp:docPr id="1" name="Picture 1" descr="Image: image1.png"/>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0000" cy="2952000"/>
                    </a:xfrm>
                    <a:prstGeom prst="rect"/>
                  </pic:spPr>
                </pic:pic>
              </a:graphicData>
            </a:graphic>
          </wp:inline>
        </w:drawing>
      </w:r>
    </w:p>
    <w:p>
      <w:pPr>
        <w:spacing w:before="360"/>
        <w:jc w:val="center"/>
      </w:pPr>
      <w:r>
        <w:t>产品目标：单个作者在本地完成长篇小说的规划、写作、连续性维护、修订与导出</w:t>
        <w:br/>
        <w:t>实施冻结：V1.0聚焦核心写作闭环，V1.5承接超长篇自动记忆、定时项目日记与条件性语义召回</w:t>
        <w:br/>
        <w:t>运行安全：冻结SQLite写队列、WAL、流式IPC、Electron安全基线、三轨备份与导入隔离</w:t>
        <w:br/>
        <w:t>显示适配：完整支持2K（2560×1440）、混合DPI、多显示器及21:9曲面/超宽屏工作区</w:t>
      </w:r>
    </w:p>
    <w:p>
      <w:r>
        <w:br w:type="page"/>
      </w:r>
    </w:p>
    <w:p>
      <w:pPr>
        <w:pStyle w:val="Heading1"/>
        <w:keepNext/>
      </w:pPr>
      <w:r>
        <w:t>文档控制</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blHeader w:val="true"/>
          <w:tblHeader w:val="true"/>
        </w:trPr>
        <w:tc>
          <w:tcPr>
            <w:tcW w:type="dxa" w:w="1814"/>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jc w:val="center"/>
            </w:pPr>
            <w:r>
              <w:rPr>
                <w:rFonts w:ascii="Noto Sans CJK SC" w:hAnsi="Noto Sans CJK SC" w:eastAsia="Noto Sans CJK SC"/>
                <w:b/>
                <w:color w:val="1C2F2B"/>
                <w:sz w:val="17"/>
              </w:rPr>
              <w:t>项目</w:t>
            </w:r>
          </w:p>
        </w:tc>
        <w:tc>
          <w:tcPr>
            <w:tcW w:type="dxa" w:w="7257"/>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jc w:val="center"/>
            </w:pPr>
            <w:r>
              <w:rPr>
                <w:rFonts w:ascii="Noto Sans CJK SC" w:hAnsi="Noto Sans CJK SC" w:eastAsia="Noto Sans CJK SC"/>
                <w:b/>
                <w:color w:val="1C2F2B"/>
                <w:sz w:val="17"/>
              </w:rPr>
              <w:t>内容</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文档版本</w:t>
            </w:r>
          </w:p>
        </w:tc>
        <w:tc>
          <w:tcPr>
            <w:tcW w:type="dxa" w:w="72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r>
              <w:t>V6.5 实施安全、并发与高分屏适配冻结最终版</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目标产品版本</w:t>
            </w:r>
          </w:p>
        </w:tc>
        <w:tc>
          <w:tcPr>
            <w:tcW w:type="dxa" w:w="72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r>
              <w:t>WorldForge v1.0 核心闭环 / v1.5 超长篇增强</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目标用户</w:t>
            </w:r>
          </w:p>
        </w:tc>
        <w:tc>
          <w:tcPr>
            <w:tcW w:type="dxa" w:w="72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val="0"/>
                <w:color w:val="232323"/>
                <w:sz w:val="17"/>
              </w:rPr>
              <w:t>单作者、本地桌面使用；覆盖小白作者与资深作者</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技术基线</w:t>
            </w:r>
          </w:p>
        </w:tc>
        <w:tc>
          <w:tcPr>
            <w:tcW w:type="dxa" w:w="72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val="0"/>
                <w:color w:val="232323"/>
                <w:sz w:val="17"/>
              </w:rPr>
              <w:t>Electron + React + TypeScript + Tiptap + Core Utility Process + SQLite</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许可证建议</w:t>
            </w:r>
          </w:p>
        </w:tc>
        <w:tc>
          <w:tcPr>
            <w:tcW w:type="dxa" w:w="72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核心AGPL v3；公共Schema可采用Apache-2.0</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文档状态</w:t>
            </w:r>
          </w:p>
        </w:tc>
        <w:tc>
          <w:tcPr>
            <w:tcW w:type="dxa" w:w="72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基础、交互、视觉、AI质量与超长篇记忆架构完成，可进入高保真原型与v1开发</w:t>
            </w:r>
          </w:p>
        </w:tc>
      </w:tr>
      <w:tr>
        <w:tc>
          <w:tcPr>
            <w:tcW w:type="dxa" w:w="4819"/>
          </w:tcPr>
          <w:p>
            <w:r>
              <w:t>显示适配基线</w:t>
            </w:r>
          </w:p>
        </w:tc>
        <w:tc>
          <w:tcPr>
            <w:tcW w:type="dxa" w:w="4819"/>
          </w:tcPr>
          <w:p>
            <w:r>
              <w:t>1280×800最低可用；2K 2560×1440完整体验；21:9曲面/超宽屏优化；90%—150%界面缩放</w:t>
            </w:r>
          </w:p>
        </w:tc>
      </w:tr>
    </w:tbl>
    <w:p>
      <w:pPr>
        <w:pStyle w:val="Heading2"/>
        <w:keepNext/>
      </w:pPr>
      <w:r>
        <w:t>版本优化摘要</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213"/>
        <w:gridCol w:w="3213"/>
        <w:gridCol w:w="3213"/>
      </w:tblGrid>
      <w:tr>
        <w:trPr>
          <w:tblHeader w:val="true"/>
          <w:cantSplit/>
          <w:tblHeader w:val="true"/>
          <w:tblHeader w:val="true"/>
          <w:tblHeader w:val="true"/>
          <w:tblHeader w:val="true"/>
          <w:tblHeader w:val="true"/>
          <w:tblHeader w:val="true"/>
          <w:tblHeader w:val="true"/>
          <w:tblHeader w:val="true"/>
          <w:tblHeader w:val="true"/>
        </w:trPr>
        <w:tc>
          <w:tcPr>
            <w:tcW w:type="dxa" w:w="1814"/>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color w:val="1C2F2B"/>
                <w:sz w:val="17"/>
              </w:rPr>
              <w:t>调整项</w:t>
            </w:r>
          </w:p>
        </w:tc>
        <w:tc>
          <w:tcPr>
            <w:tcW w:type="dxa" w:w="3118"/>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color w:val="1C2F2B"/>
                <w:sz w:val="17"/>
              </w:rPr>
              <w:t>V5.7状态</w:t>
            </w:r>
          </w:p>
        </w:tc>
        <w:tc>
          <w:tcPr>
            <w:tcW w:type="dxa" w:w="4535"/>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r>
              <w:t>V6.5最终处理</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本地模型运行时</w:t>
            </w:r>
          </w:p>
        </w:tc>
        <w:tc>
          <w:tcPr>
            <w:tcW w:type="dxa" w:w="3118"/>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内置安装、容器、进程管理</w:t>
            </w:r>
          </w:p>
        </w:tc>
        <w:tc>
          <w:tcPr>
            <w:tcW w:type="dxa" w:w="4535"/>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删除；仅连接已运行的兼容API</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向量检索</w:t>
            </w:r>
          </w:p>
        </w:tc>
        <w:tc>
          <w:tcPr>
            <w:tcW w:type="dxa" w:w="3118"/>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预设Adapter、Embedding、Rerank</w:t>
            </w:r>
          </w:p>
        </w:tc>
        <w:tc>
          <w:tcPr>
            <w:tcW w:type="dxa" w:w="4535"/>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删除；v1仅用结构化关联和FTS5</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AI任务模型</w:t>
            </w:r>
          </w:p>
        </w:tc>
        <w:tc>
          <w:tcPr>
            <w:tcW w:type="dxa" w:w="3118"/>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Command/Job/Attempt/Candidate</w:t>
            </w:r>
          </w:p>
        </w:tc>
        <w:tc>
          <w:tcPr>
            <w:tcW w:type="dxa" w:w="4535"/>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简化为GenerationRun + Candidate</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修订系统</w:t>
            </w:r>
          </w:p>
        </w:tc>
        <w:tc>
          <w:tcPr>
            <w:tcW w:type="dxa" w:w="3118"/>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六轮状态机与Issue生命周期</w:t>
            </w:r>
          </w:p>
        </w:tc>
        <w:tc>
          <w:tcPr>
            <w:tcW w:type="dxa" w:w="4535"/>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简化为修订检查表和StoryTodo</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运营功能</w:t>
            </w:r>
          </w:p>
        </w:tc>
        <w:tc>
          <w:tcPr>
            <w:tcW w:type="dxa" w:w="3118"/>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发布中心、反馈聚类、作者决策记忆</w:t>
            </w:r>
          </w:p>
        </w:tc>
        <w:tc>
          <w:tcPr>
            <w:tcW w:type="dxa" w:w="4535"/>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移出v1；只保留定稿导出和可选发布版标记</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治理机制</w:t>
            </w:r>
          </w:p>
        </w:tc>
        <w:tc>
          <w:tcPr>
            <w:tcW w:type="dxa" w:w="3118"/>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大量ADR和强制审批</w:t>
            </w:r>
          </w:p>
        </w:tc>
        <w:tc>
          <w:tcPr>
            <w:tcW w:type="dxa" w:w="4535"/>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压缩为5项关键ADR和高风险审查</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进程架构</w:t>
            </w:r>
          </w:p>
        </w:tc>
        <w:tc>
          <w:tcPr>
            <w:tcW w:type="dxa" w:w="3118"/>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Data、AI、Runtime多进程</w:t>
            </w:r>
          </w:p>
        </w:tc>
        <w:tc>
          <w:tcPr>
            <w:tcW w:type="dxa" w:w="4535"/>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合并为单一Core Utility Process</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示例内容</w:t>
            </w:r>
          </w:p>
        </w:tc>
        <w:tc>
          <w:tcPr>
            <w:tcW w:type="dxa" w:w="3118"/>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包含具体作品化示例</w:t>
            </w:r>
          </w:p>
        </w:tc>
        <w:tc>
          <w:tcPr>
            <w:tcW w:type="dxa" w:w="4535"/>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全部改为中性、通用、无作品指向的说明</w:t>
            </w:r>
          </w:p>
        </w:tc>
      </w:tr>
      <w:tr>
        <w:trPr>
          <w:cantSplit/>
        </w:trPr>
        <w:tc>
          <w:tcPr>
            <w:tcW w:type="dxa" w:w="181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用户模式</w:t>
            </w:r>
          </w:p>
        </w:tc>
        <w:tc>
          <w:tcPr>
            <w:tcW w:type="dxa" w:w="3118"/>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仅定义单作者目标用户</w:t>
            </w:r>
          </w:p>
        </w:tc>
        <w:tc>
          <w:tcPr>
            <w:tcW w:type="dxa" w:w="4535"/>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新增新手模式与专业模式，数据完全共用</w:t>
            </w:r>
          </w:p>
        </w:tc>
      </w:tr>
      <w:tr>
        <w:trPr>
          <w:cantSplit/>
        </w:trPr>
        <w:tc>
          <w:tcPr>
            <w:tcW w:type="dxa" w:w="181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创作路径</w:t>
            </w:r>
          </w:p>
        </w:tc>
        <w:tc>
          <w:tcPr>
            <w:tcW w:type="dxa" w:w="3118"/>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核心闭环相对固定</w:t>
            </w:r>
          </w:p>
        </w:tc>
        <w:tc>
          <w:tcPr>
            <w:tcW w:type="dxa" w:w="4535"/>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新增自主写作、混合创作、AI初稿三种路径</w:t>
            </w:r>
          </w:p>
        </w:tc>
      </w:tr>
      <w:tr>
        <w:trPr>
          <w:cantSplit/>
        </w:trPr>
        <w:tc>
          <w:tcPr>
            <w:tcW w:type="dxa" w:w="181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页面架构</w:t>
            </w:r>
          </w:p>
        </w:tc>
        <w:tc>
          <w:tcPr>
            <w:tcW w:type="dxa" w:w="3118"/>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缺少完整页面地图</w:t>
            </w:r>
          </w:p>
        </w:tc>
        <w:tc>
          <w:tcPr>
            <w:tcW w:type="dxa" w:w="4535"/>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收敛为六个一级入口和三个核心工作台</w:t>
            </w:r>
          </w:p>
        </w:tc>
      </w:tr>
      <w:tr>
        <w:trPr>
          <w:cantSplit/>
        </w:trPr>
        <w:tc>
          <w:tcPr>
            <w:tcW w:type="dxa" w:w="181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写作体验</w:t>
            </w:r>
          </w:p>
        </w:tc>
        <w:tc>
          <w:tcPr>
            <w:tcW w:type="dxa" w:w="3118"/>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工程能力完整但交互不足</w:t>
            </w:r>
          </w:p>
        </w:tc>
        <w:tc>
          <w:tcPr>
            <w:tcW w:type="dxa" w:w="4535"/>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补充写作工作台、聚焦模式、字数和保存状态</w:t>
            </w:r>
          </w:p>
        </w:tc>
      </w:tr>
      <w:tr>
        <w:trPr>
          <w:cantSplit/>
        </w:trPr>
        <w:tc>
          <w:tcPr>
            <w:tcW w:type="dxa" w:w="181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候选处理</w:t>
            </w:r>
          </w:p>
        </w:tc>
        <w:tc>
          <w:tcPr>
            <w:tcW w:type="dxa" w:w="3118"/>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定义数据边界</w:t>
            </w:r>
          </w:p>
        </w:tc>
        <w:tc>
          <w:tcPr>
            <w:tcW w:type="dxa" w:w="4535"/>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补充并排对比、差异高亮、逐段采用与冲突解决</w:t>
            </w:r>
          </w:p>
        </w:tc>
      </w:tr>
      <w:tr>
        <w:trPr>
          <w:cantSplit/>
        </w:trPr>
        <w:tc>
          <w:tcPr>
            <w:tcW w:type="dxa" w:w="181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新手引导</w:t>
            </w:r>
          </w:p>
        </w:tc>
        <w:tc>
          <w:tcPr>
            <w:tcW w:type="dxa" w:w="3118"/>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无完整向导</w:t>
            </w:r>
          </w:p>
        </w:tc>
        <w:tc>
          <w:tcPr>
            <w:tcW w:type="dxa" w:w="4535"/>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新增五步建书向导、结构模板和下一步提示</w:t>
            </w:r>
          </w:p>
        </w:tc>
      </w:tr>
      <w:tr>
        <w:trPr>
          <w:cantSplit/>
        </w:trPr>
        <w:tc>
          <w:tcPr>
            <w:tcW w:type="dxa" w:w="181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UI规范</w:t>
            </w:r>
          </w:p>
        </w:tc>
        <w:tc>
          <w:tcPr>
            <w:tcW w:type="dxa" w:w="3118"/>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无组件和视觉规格</w:t>
            </w:r>
          </w:p>
        </w:tc>
        <w:tc>
          <w:tcPr>
            <w:tcW w:type="dxa" w:w="4535"/>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新增布局、颜色、字体、状态、快捷键和无障碍标准</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场景与正文联动</w:t>
            </w:r>
          </w:p>
        </w:tc>
        <w:tc>
          <w:tcPr>
            <w:tcW w:type="dxa" w:w="3118"/>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仅有场景卡与正文块概念</w:t>
            </w:r>
          </w:p>
        </w:tc>
        <w:tc>
          <w:tcPr>
            <w:tcW w:type="dxa" w:w="4535"/>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明确单向安全规则：规划不自动改写正文，移动已有正文必须确认</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章节结构操作</w:t>
            </w:r>
          </w:p>
        </w:tc>
        <w:tc>
          <w:tcPr>
            <w:tcW w:type="dxa" w:w="3118"/>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缺少拆分、合并和跨章移动规则</w:t>
            </w:r>
          </w:p>
        </w:tc>
        <w:tc>
          <w:tcPr>
            <w:tcW w:type="dxa" w:w="4535"/>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新增事务化拆章、并章和场景跨章移动，历史Version保持不变</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校对与词典</w:t>
            </w:r>
          </w:p>
        </w:tc>
        <w:tc>
          <w:tcPr>
            <w:tcW w:type="dxa" w:w="3118"/>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只有通用校对检查项</w:t>
            </w:r>
          </w:p>
        </w:tc>
        <w:tc>
          <w:tcPr>
            <w:tcW w:type="dxa" w:w="4535"/>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新增离线标点/引号/重复符号检查和项目专名词典</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已有作品导入</w:t>
            </w:r>
          </w:p>
        </w:tc>
        <w:tc>
          <w:tcPr>
            <w:tcW w:type="dxa" w:w="3118"/>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定义格式，缺少作者确认流程</w:t>
            </w:r>
          </w:p>
        </w:tc>
        <w:tc>
          <w:tcPr>
            <w:tcW w:type="dxa" w:w="4535"/>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新增分章预览、合并、拆分、重命名后再提交</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AI运行行为</w:t>
            </w:r>
          </w:p>
        </w:tc>
        <w:tc>
          <w:tcPr>
            <w:tcW w:type="dxa" w:w="3118"/>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定义生成状态，缺少切章与关窗规则</w:t>
            </w:r>
          </w:p>
        </w:tc>
        <w:tc>
          <w:tcPr>
            <w:tcW w:type="dxa" w:w="4535"/>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新增轻量任务条、切页续跑、取消和部分结果处理</w:t>
            </w:r>
          </w:p>
        </w:tc>
      </w:tr>
      <w:tr>
        <w:trPr>
          <w:cantSplit/>
        </w:trPr>
        <w:tc>
          <w:tcPr>
            <w:tcW w:type="dxa" w:w="181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候选差异</w:t>
            </w:r>
          </w:p>
        </w:tc>
        <w:tc>
          <w:tcPr>
            <w:tcW w:type="dxa" w:w="3118"/>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定义逐段采用，算法未冻结</w:t>
            </w:r>
          </w:p>
        </w:tc>
        <w:tc>
          <w:tcPr>
            <w:tcW w:type="dxa" w:w="4535"/>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冻结为logicalBlockId结构Diff优先，块内文本Diff辅助</w:t>
            </w:r>
          </w:p>
        </w:tc>
      </w:tr>
      <w:tr>
        <w:trPr>
          <w:cantSplit/>
        </w:trPr>
        <w:tc>
          <w:tcPr>
            <w:tcW w:type="dxa" w:w="181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校验噪声</w:t>
            </w:r>
          </w:p>
        </w:tc>
        <w:tc>
          <w:tcPr>
            <w:tcW w:type="dxa" w:w="3118"/>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问题分级但缺少静音规则</w:t>
            </w:r>
          </w:p>
        </w:tc>
        <w:tc>
          <w:tcPr>
            <w:tcW w:type="dxa" w:w="4535"/>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新增本章忽略、项目静音、降级和误报记录</w:t>
            </w:r>
          </w:p>
        </w:tc>
      </w:tr>
      <w:tr>
        <w:tc>
          <w:tcPr>
            <w:tcW w:type="dxa" w:w="181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删除恢复</w:t>
            </w:r>
          </w:p>
        </w:tc>
        <w:tc>
          <w:tcPr>
            <w:tcW w:type="dxa" w:w="3118"/>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章节仅定义软删除</w:t>
            </w:r>
          </w:p>
        </w:tc>
        <w:tc>
          <w:tcPr>
            <w:tcW w:type="dxa" w:w="4535"/>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增加统一回收站、恢复、永久删除与冲突处理</w:t>
            </w:r>
          </w:p>
        </w:tc>
      </w:tr>
      <w:tr>
        <w:tc>
          <w:tcPr>
            <w:tcW w:type="dxa" w:w="181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本地备份</w:t>
            </w:r>
          </w:p>
        </w:tc>
        <w:tc>
          <w:tcPr>
            <w:tcW w:type="dxa" w:w="3118"/>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支持手动一致性备份</w:t>
            </w:r>
          </w:p>
        </w:tc>
        <w:tc>
          <w:tcPr>
            <w:tcW w:type="dxa" w:w="4535"/>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增加滚动自动备份、重大操作恢复点与失败策略</w:t>
            </w:r>
          </w:p>
        </w:tc>
      </w:tr>
      <w:tr>
        <w:tc>
          <w:tcPr>
            <w:tcW w:type="dxa" w:w="181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编辑器行为</w:t>
            </w:r>
          </w:p>
        </w:tc>
        <w:tc>
          <w:tcPr>
            <w:tcW w:type="dxa" w:w="3118"/>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定义块级编辑与锁定</w:t>
            </w:r>
          </w:p>
        </w:tc>
        <w:tc>
          <w:tcPr>
            <w:tcW w:type="dxa" w:w="4535"/>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冻结粘贴清理、最小格式、IME、撤销、查找和超长章节规则</w:t>
            </w:r>
          </w:p>
        </w:tc>
      </w:tr>
      <w:tr>
        <w:tc>
          <w:tcPr>
            <w:tcW w:type="dxa" w:w="181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字数统计</w:t>
            </w:r>
          </w:p>
        </w:tc>
        <w:tc>
          <w:tcPr>
            <w:tcW w:type="dxa" w:w="3118"/>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显示章节与全书字数</w:t>
            </w:r>
          </w:p>
        </w:tc>
        <w:tc>
          <w:tcPr>
            <w:tcW w:type="dxa" w:w="4535"/>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统一统计口径、目标进度与统计来源</w:t>
            </w:r>
          </w:p>
        </w:tc>
      </w:tr>
      <w:tr>
        <w:tc>
          <w:tcPr>
            <w:tcW w:type="dxa" w:w="181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设置</w:t>
            </w:r>
          </w:p>
        </w:tc>
        <w:tc>
          <w:tcPr>
            <w:tcW w:type="dxa" w:w="3118"/>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配置分散在各模块</w:t>
            </w:r>
          </w:p>
        </w:tc>
        <w:tc>
          <w:tcPr>
            <w:tcW w:type="dxa" w:w="4535"/>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增加统一设置中心及应用/项目覆盖规则</w:t>
            </w:r>
          </w:p>
        </w:tc>
      </w:tr>
      <w:tr>
        <w:tc>
          <w:tcPr>
            <w:tcW w:type="dxa" w:w="181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导入导出</w:t>
            </w:r>
          </w:p>
        </w:tc>
        <w:tc>
          <w:tcPr>
            <w:tcW w:type="dxa" w:w="3118"/>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已有预览和格式范围</w:t>
            </w:r>
          </w:p>
        </w:tc>
        <w:tc>
          <w:tcPr>
            <w:tcW w:type="dxa" w:w="4535"/>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补齐编码、异常、取消回滚、原子导出和复杂DOCX边界</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高频轻量改写</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所有AI修改均进入完整候选审阅</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新增原地替换+短时撤销的快速改写通道</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新手首次写作</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向导结束后可能直接进入空白页</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按信息完整度提供可关闭的轻量写作脚手架</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长期确认质量</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逐章全部接受可能机械化</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列为原型后二周使用实验，不进入首轮强制实现</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右侧栏密度</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五标签均需切换查看</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迷你人物状态条列为可用性实验项</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状态提示总量</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不同模块独立显示提醒</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定义统一优先级规则；首版先实现静态上限与区域约束</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视觉定位</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功能性线框与通用SaaS风格</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冻结为“安静编辑部”：纸面、墨色、低饱和靛蓝、编辑批注感</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颜色语义</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候选/冲突页面存在橙绿优劣暗示</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来源使用中性灰与低饱和蓝紫；成功绿不再代表AI内容</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卡片密度</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设置、右栏和确认页卡片偏多</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普通信息改为轻分组与分隔线；仅风险、候选和恢复信息使用卡片</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阅读排版</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正文参数分散</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冻结纸面背景、正文三档宽度、字体预设、行距与段间距</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动效反馈</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缺少统一时长和禁用规则</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只使用120-200ms微动效；禁止发光、弹跳、粒子和持续呼吸动画</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AI质量验证</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仅定义基础指标，缺少T0/T1完整发布门槛</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新增本地Eval、固定测试夹具、模型/Prompt升级回归和失败降级策略</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候选采用撤销</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提供短时撤销和历史恢复</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冻结为原子Draft事务；Ctrl/Cmd+Z可整体撤销；应用重启后可回退到采用前版本</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长章节候选审阅</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支持并排、差异和单稿视图</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新增全屏比较、折叠未改段、场景导航、同步滚动与13寸屏幕适配</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锁定块感知</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具备锁定逻辑与基础图标</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新增细锁定线、边缘锁图标、悬停说明和AI操作跳过摘要</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AI运行反馈</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有任务条和取消入口</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新增真实阶段进度、已运行时长、已接收字数和partial Candidate规则；禁止伪造倒计时</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帮助与术语</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新手模式隐藏部分工程术语</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新增悬停解释、首次使用提示、页面级短帮助和统一用户术语表</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沉浸写作</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已有聚焦模式</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升级为跨新手/专业模式共用的沉浸写作视图，不创建第三套数据或产品模式</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AI使用引导</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首页与向导提供下一步提示</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新增基于当前状态和选区的确定性场景建议；每次最多一项，可关闭且不使用行为学习</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超长篇记忆</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章节快照+FTS5，百万字后可能出现历史状态混淆</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升级为L0-L5分层记忆、时序状态、热温冷分区和卷级检查点</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AI项目日记</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无统一的人类可读项目进展日志</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新增本地AI项目日记；按事件/时间生成，默认不修改权威设定</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摘要权威性</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章节/卷摘要边界未冻结</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摘要与日记仅作导航和辅助，权威事实仍来自定稿正文和作者确认状态</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超长篇验证</w:t>
            </w:r>
          </w:p>
        </w:tc>
        <w:tc>
          <w:tcPr>
            <w:tcW w:type="dxa" w:w="3118"/>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缺少300万—500万字压力与召回基线</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新增三档项目压力、记忆召回、失效传播和日记增量评测</w:t>
            </w:r>
          </w:p>
        </w:tc>
      </w:tr>
      <w:tr>
        <w:tc>
          <w:tcPr>
            <w:tcW w:type="dxa" w:w="3213"/>
          </w:tcPr>
          <w:p>
            <w:r>
              <w:t>发布范围</w:t>
            </w:r>
          </w:p>
        </w:tc>
        <w:tc>
          <w:tcPr>
            <w:tcW w:type="dxa" w:w="3213"/>
          </w:tcPr>
          <w:p>
            <w:r>
              <w:t>V6.4完整蓝图</w:t>
            </w:r>
          </w:p>
        </w:tc>
        <w:tc>
          <w:tcPr>
            <w:tcW w:type="dxa" w:w="3213"/>
          </w:tcPr>
          <w:p>
            <w:r>
              <w:t>V1.0只交付M0—M5核心闭环；M4A—M4E主体移至V1.5</w:t>
            </w:r>
          </w:p>
        </w:tc>
      </w:tr>
      <w:tr>
        <w:tc>
          <w:tcPr>
            <w:tcW w:type="dxa" w:w="3213"/>
          </w:tcPr>
          <w:p>
            <w:r>
              <w:t>Core并发</w:t>
            </w:r>
          </w:p>
        </w:tc>
        <w:tc>
          <w:tcPr>
            <w:tcW w:type="dxa" w:w="3213"/>
          </w:tcPr>
          <w:p>
            <w:r>
              <w:t>单进程原则，拆分条件未量化</w:t>
            </w:r>
          </w:p>
        </w:tc>
        <w:tc>
          <w:tcPr>
            <w:tcW w:type="dxa" w:w="3213"/>
          </w:tcPr>
          <w:p>
            <w:r>
              <w:t>冻结SQLite单写队列、WAL、busy_timeout、流式通道和拆分阈值</w:t>
            </w:r>
          </w:p>
        </w:tc>
      </w:tr>
      <w:tr>
        <w:tc>
          <w:tcPr>
            <w:tcW w:type="dxa" w:w="3213"/>
          </w:tcPr>
          <w:p>
            <w:r>
              <w:t>Electron安全</w:t>
            </w:r>
          </w:p>
        </w:tc>
        <w:tc>
          <w:tcPr>
            <w:tcW w:type="dxa" w:w="3213"/>
          </w:tcPr>
          <w:p>
            <w:r>
              <w:t>原则性描述</w:t>
            </w:r>
          </w:p>
        </w:tc>
        <w:tc>
          <w:tcPr>
            <w:tcW w:type="dxa" w:w="3213"/>
          </w:tcPr>
          <w:p>
            <w:r>
              <w:t>加入contextIsolation、sandbox、CSP、preload白名单、导航与外链限制</w:t>
            </w:r>
          </w:p>
        </w:tc>
      </w:tr>
      <w:tr>
        <w:tc>
          <w:tcPr>
            <w:tcW w:type="dxa" w:w="3213"/>
          </w:tcPr>
          <w:p>
            <w:r>
              <w:t>备份与损坏检测</w:t>
            </w:r>
          </w:p>
        </w:tc>
        <w:tc>
          <w:tcPr>
            <w:tcW w:type="dxa" w:w="3213"/>
          </w:tcPr>
          <w:p>
            <w:r>
              <w:t>最近7份滚动备份</w:t>
            </w:r>
          </w:p>
        </w:tc>
        <w:tc>
          <w:tcPr>
            <w:tcW w:type="dxa" w:w="3213"/>
          </w:tcPr>
          <w:p>
            <w:r>
              <w:t>改为日常滚动、重大恢复点、手动快照三轨；加入quick_check/integrity_check</w:t>
            </w:r>
          </w:p>
        </w:tc>
      </w:tr>
      <w:tr>
        <w:tc>
          <w:tcPr>
            <w:tcW w:type="dxa" w:w="3213"/>
          </w:tcPr>
          <w:p>
            <w:r>
              <w:t>导入安全</w:t>
            </w:r>
          </w:p>
        </w:tc>
        <w:tc>
          <w:tcPr>
            <w:tcW w:type="dxa" w:w="3213"/>
          </w:tcPr>
          <w:p>
            <w:r>
              <w:t>格式和异常边界</w:t>
            </w:r>
          </w:p>
        </w:tc>
        <w:tc>
          <w:tcPr>
            <w:tcW w:type="dxa" w:w="3213"/>
          </w:tcPr>
          <w:p>
            <w:r>
              <w:t>拒绝宏文档、过滤OLE/外链、限制ZIP规模与路径穿越</w:t>
            </w:r>
          </w:p>
        </w:tc>
      </w:tr>
      <w:tr>
        <w:tc>
          <w:tcPr>
            <w:tcW w:type="dxa" w:w="3213"/>
          </w:tcPr>
          <w:p>
            <w:r>
              <w:t>AI质量门槛</w:t>
            </w:r>
          </w:p>
        </w:tc>
        <w:tc>
          <w:tcPr>
            <w:tcW w:type="dxa" w:w="3213"/>
          </w:tcPr>
          <w:p>
            <w:r>
              <w:t>统一指标</w:t>
            </w:r>
          </w:p>
        </w:tc>
        <w:tc>
          <w:tcPr>
            <w:tcW w:type="dxa" w:w="3213"/>
          </w:tcPr>
          <w:p>
            <w:r>
              <w:t>拆为代码硬保证与模型质量档案；未验证模型明确降级</w:t>
            </w:r>
          </w:p>
        </w:tc>
      </w:tr>
      <w:tr>
        <w:tc>
          <w:tcPr>
            <w:tcW w:type="dxa" w:w="3213"/>
          </w:tcPr>
          <w:p>
            <w:r>
              <w:t>高分屏与曲面屏</w:t>
            </w:r>
          </w:p>
        </w:tc>
        <w:tc>
          <w:tcPr>
            <w:tcW w:type="dxa" w:w="3213"/>
          </w:tcPr>
          <w:p>
            <w:r>
              <w:t>普通桌面响应规则</w:t>
            </w:r>
          </w:p>
        </w:tc>
        <w:tc>
          <w:tcPr>
            <w:tcW w:type="dxa" w:w="3213"/>
          </w:tcPr>
          <w:p>
            <w:r>
              <w:t>加入2K、21:9曲面/超宽屏、混合DPI、视觉安全区和性能预算</w:t>
            </w:r>
          </w:p>
        </w:tc>
      </w:tr>
    </w:tbl>
    <w:tbl>
      <w:tblPr>
        <w:tblW w:type="auto" w:w="0"/>
        <w:tblLayout w:type="autofit"/>
        <w:tblLook w:firstColumn="1" w:firstRow="1" w:lastColumn="0" w:lastRow="0" w:noHBand="0" w:noVBand="1" w:val="04A0"/>
        <w:jc w:val="center"/>
        <w:tblBorders>
          <w:top w:val="single" w:sz="8" w:space="0" w:color="2F7B4B"/>
          <w:left w:val="single" w:sz="8" w:space="0" w:color="2F7B4B"/>
          <w:bottom w:val="single" w:sz="8" w:space="0" w:color="2F7B4B"/>
          <w:right w:val="single" w:sz="8" w:space="0" w:color="2F7B4B"/>
          <w:insideH w:val="single" w:sz="8" w:space="0" w:color="2F7B4B"/>
          <w:insideV w:val="single" w:sz="8" w:space="0" w:color="2F7B4B"/>
        </w:tblBorders>
      </w:tblPr>
      <w:tblGrid>
        <w:gridCol w:w="9638"/>
      </w:tblGrid>
      <w:tr>
        <w:tc>
          <w:tcPr>
            <w:tcW w:type="dxa" w:w="9638"/>
            <w:shd w:fill="F8FAFD"/>
            <w:tcMar>
              <w:top w:w="90" w:type="dxa"/>
              <w:start w:w="110" w:type="dxa"/>
              <w:bottom w:w="90" w:type="dxa"/>
              <w:end w:w="110" w:type="dxa"/>
            </w:tcMar>
            <w:vAlign w:val="center"/>
          </w:tcPr>
          <w:p>
            <w:pPr>
              <w:spacing w:after="0"/>
            </w:pPr>
            <w:r>
              <w:rPr>
                <w:rFonts w:ascii="Noto Sans CJK SC" w:hAnsi="Noto Sans CJK SC" w:eastAsia="Noto Sans CJK SC"/>
                <w:b/>
                <w:color w:val="2F7B4B"/>
                <w:sz w:val="18"/>
              </w:rPr>
              <w:t>文档边界：</w:t>
            </w:r>
            <w:r>
              <w:rPr>
                <w:rFonts w:ascii="Noto Sans CJK SC" w:hAnsi="Noto Sans CJK SC" w:eastAsia="Noto Sans CJK SC"/>
                <w:color w:val="25364A"/>
                <w:sz w:val="18"/>
              </w:rPr>
              <w:t>本文件只描述通用产品和工程设计，不包含任何用户作品、人物、世界观、命名、情节或私人创作记忆。</w:t>
            </w:r>
          </w:p>
        </w:tc>
        <w:trPr>
          <w:tblHeader/>
          <w:cantSplit/>
        </w:trPr>
      </w:tr>
    </w:tbl>
    <w:p>
      <w:pPr>
        <w:pStyle w:val="Heading1"/>
        <w:keepNext/>
      </w:pPr>
      <w:r>
        <w:t>目录</w:t>
      </w:r>
    </w:p>
    <w:p>
      <w:pPr>
        <w:ind w:left="227"/>
      </w:pPr>
      <w:r>
        <w:rPr>
          <w:rFonts w:ascii="Noto Sans CJK SC" w:hAnsi="Noto Sans CJK SC" w:eastAsia="Noto Sans CJK SC"/>
          <w:color w:val="28527A"/>
          <w:sz w:val="21"/>
        </w:rPr>
        <w:t>1. 执行摘要与产品边界</w:t>
      </w:r>
    </w:p>
    <w:p>
      <w:pPr>
        <w:ind w:left="227"/>
      </w:pPr>
      <w:r>
        <w:rPr>
          <w:rFonts w:ascii="Noto Sans CJK SC" w:hAnsi="Noto Sans CJK SC" w:eastAsia="Noto Sans CJK SC"/>
          <w:color w:val="28527A"/>
          <w:sz w:val="21"/>
        </w:rPr>
        <w:t>2. 用户与核心创作闭环</w:t>
      </w:r>
    </w:p>
    <w:p>
      <w:pPr>
        <w:ind w:left="227"/>
      </w:pPr>
      <w:r>
        <w:rPr>
          <w:rFonts w:ascii="Noto Sans CJK SC" w:hAnsi="Noto Sans CJK SC" w:eastAsia="Noto Sans CJK SC"/>
          <w:color w:val="28527A"/>
          <w:sz w:val="21"/>
        </w:rPr>
        <w:t>3. v1功能范围与优先级</w:t>
      </w:r>
    </w:p>
    <w:p>
      <w:pPr>
        <w:ind w:left="227"/>
      </w:pPr>
      <w:r>
        <w:rPr>
          <w:rFonts w:ascii="Noto Sans CJK SC" w:hAnsi="Noto Sans CJK SC" w:eastAsia="Noto Sans CJK SC"/>
          <w:color w:val="28527A"/>
          <w:sz w:val="21"/>
        </w:rPr>
        <w:t>4. 精简总体架构与技术选型</w:t>
      </w:r>
    </w:p>
    <w:p>
      <w:pPr>
        <w:ind w:left="227"/>
      </w:pPr>
      <w:r>
        <w:rPr>
          <w:rFonts w:ascii="Noto Sans CJK SC" w:hAnsi="Noto Sans CJK SC" w:eastAsia="Noto Sans CJK SC"/>
          <w:color w:val="28527A"/>
          <w:sz w:val="21"/>
        </w:rPr>
        <w:t>5. 本地工作空间与数据权威</w:t>
      </w:r>
    </w:p>
    <w:p>
      <w:pPr>
        <w:ind w:left="227"/>
      </w:pPr>
      <w:r>
        <w:rPr>
          <w:rFonts w:ascii="Noto Sans CJK SC" w:hAnsi="Noto Sans CJK SC" w:eastAsia="Noto Sans CJK SC"/>
          <w:color w:val="28527A"/>
          <w:sz w:val="21"/>
        </w:rPr>
        <w:t>6. 正文编辑、Draft、Candidate与Version</w:t>
      </w:r>
    </w:p>
    <w:p>
      <w:pPr>
        <w:ind w:left="227"/>
      </w:pPr>
      <w:r>
        <w:rPr>
          <w:rFonts w:ascii="Noto Sans CJK SC" w:hAnsi="Noto Sans CJK SC" w:eastAsia="Noto Sans CJK SC"/>
          <w:color w:val="28527A"/>
          <w:sz w:val="21"/>
        </w:rPr>
        <w:t>7. 创作规划与长篇连续性</w:t>
      </w:r>
    </w:p>
    <w:p>
      <w:pPr>
        <w:ind w:left="227"/>
      </w:pPr>
      <w:r>
        <w:rPr>
          <w:rFonts w:ascii="Noto Sans CJK SC" w:hAnsi="Noto Sans CJK SC" w:eastAsia="Noto Sans CJK SC"/>
          <w:color w:val="28527A"/>
          <w:sz w:val="21"/>
        </w:rPr>
        <w:t>8. AI接入、约束包与生成工作流</w:t>
      </w:r>
    </w:p>
    <w:p>
      <w:pPr>
        <w:ind w:left="227"/>
      </w:pPr>
      <w:r>
        <w:rPr>
          <w:rFonts w:ascii="Noto Sans CJK SC" w:hAnsi="Noto Sans CJK SC" w:eastAsia="Noto Sans CJK SC"/>
          <w:color w:val="28527A"/>
          <w:sz w:val="21"/>
        </w:rPr>
        <w:t>9. 校验、文风与修订工具</w:t>
      </w:r>
    </w:p>
    <w:p>
      <w:pPr>
        <w:ind w:left="227"/>
      </w:pPr>
      <w:r>
        <w:rPr>
          <w:rFonts w:ascii="Noto Sans CJK SC" w:hAnsi="Noto Sans CJK SC" w:eastAsia="Noto Sans CJK SC"/>
          <w:color w:val="28527A"/>
          <w:sz w:val="21"/>
        </w:rPr>
        <w:t>10. 搜索、笔记、批注与交付</w:t>
      </w:r>
    </w:p>
    <w:p>
      <w:pPr/>
      <w:r>
        <w:rPr>
          <w:b w:val="0"/>
        </w:rPr>
        <w:t>11. 双模式交互与UI设计</w:t>
      </w:r>
    </w:p>
    <w:p>
      <w:pPr>
        <w:ind w:left="227"/>
      </w:pPr>
      <w:r>
        <w:t>12. 数据库与IPC契约</w:t>
      </w:r>
    </w:p>
    <w:p>
      <w:pPr>
        <w:ind w:left="227"/>
      </w:pPr>
      <w:r>
        <w:t>13. 安全、备份与错误处理</w:t>
      </w:r>
    </w:p>
    <w:p>
      <w:pPr>
        <w:ind w:left="227"/>
      </w:pPr>
      <w:r>
        <w:t>14. 测试与验收</w:t>
      </w:r>
    </w:p>
    <w:p>
      <w:pPr>
        <w:ind w:left="227"/>
      </w:pPr>
      <w:r>
        <w:t>15. 开发路线图与AI编程规则</w:t>
      </w:r>
    </w:p>
    <w:p>
      <w:pPr>
        <w:ind w:left="227"/>
      </w:pPr>
      <w:r>
        <w:t>16. 五项核心ADR</w:t>
      </w:r>
    </w:p>
    <w:p>
      <w:pPr/>
      <w:r>
        <w:rPr>
          <w:rFonts w:ascii="Noto Sans CJK SC" w:hAnsi="Noto Sans CJK SC" w:eastAsia="Noto Sans CJK SC"/>
        </w:rPr>
        <w:t>超长篇记忆与AI项目日记遵循既有五项ADR：本地数据、SQLite权威、Candidate隔离、作者确认和锁定/Revision安全。摘要与日记作为派生数据，不新增权威来源。</w:t>
      </w:r>
    </w:p>
    <w:p>
      <w:r>
        <w:t>17. 最终交互与实现规则</w:t>
      </w:r>
    </w:p>
    <w:p>
      <w:pPr/>
      <w:r>
        <w:t>18. 基础功能与交互闭环</w:t>
      </w:r>
    </w:p>
    <w:p>
      <w:pPr/>
      <w:r>
        <w:t>19. 视觉系统与美感定稿</w:t>
      </w:r>
    </w:p>
    <w:p>
      <w:pPr/>
      <w:r>
        <w:t>20. AI质量与日常写作体验冻结</w:t>
      </w:r>
    </w:p>
    <w:p>
      <w:pPr/>
      <w:r>
        <w:rPr>
          <w:rFonts w:ascii="Noto Sans CJK SC" w:hAnsi="Noto Sans CJK SC" w:eastAsia="Noto Sans CJK SC"/>
        </w:rPr>
        <w:t>21. 超长篇分层记忆与AI项目日记</w:t>
      </w:r>
    </w:p>
    <w:p>
      <w:pPr/>
      <w:r>
        <w:t>22. 实施安全、并发与高分屏适配冻结</w:t>
      </w:r>
    </w:p>
    <w:p>
      <w:pPr>
        <w:pStyle w:val="Heading1"/>
        <w:keepNext/>
      </w:pPr>
      <w:r>
        <w:t>1. 执行摘要与产品边界</w:t>
      </w:r>
    </w:p>
    <w:p>
      <w:pPr>
        <w:spacing w:line="324" w:lineRule="auto" w:after="100"/>
        <w:ind w:firstLine="420"/>
      </w:pPr>
      <w:r>
        <w:rPr>
          <w:rFonts w:ascii="Noto Sans CJK SC" w:hAnsi="Noto Sans CJK SC" w:eastAsia="Noto Sans CJK SC"/>
          <w:sz w:val="21"/>
        </w:rPr>
        <w:t>WorldForge是一款面向单个作者的本地AI长篇写作工作站。它不承担模型安装、云端托管、读者运营和团队治理，而专注于长篇写作最难的几件事：结构规划、AI候选生成、作者可控编辑、跨章连续性、版本回滚和最终导出。</w:t>
      </w:r>
    </w:p>
    <w:p>
      <w:pPr>
        <w:pStyle w:val="Heading2"/>
        <w:keepNext/>
      </w:pPr>
      <w:r>
        <w:t>1.1 五项不可变原则</w:t>
      </w:r>
    </w:p>
    <w:p>
      <w:pPr>
        <w:pStyle w:val="ListNumber"/>
        <w:spacing w:after="40"/>
      </w:pPr>
      <w:r>
        <w:rPr>
          <w:rFonts w:ascii="Noto Sans CJK SC" w:hAnsi="Noto Sans CJK SC" w:eastAsia="Noto Sans CJK SC"/>
          <w:sz w:val="21"/>
        </w:rPr>
        <w:t>作品正文、设定、索引、日志和备份仅保存在用户本机。</w:t>
      </w:r>
    </w:p>
    <w:p>
      <w:pPr>
        <w:pStyle w:val="ListNumber"/>
        <w:spacing w:after="40"/>
      </w:pPr>
      <w:r>
        <w:rPr>
          <w:rFonts w:ascii="Noto Sans CJK SC" w:hAnsi="Noto Sans CJK SC" w:eastAsia="Noto Sans CJK SC"/>
          <w:sz w:val="21"/>
        </w:rPr>
        <w:t>AI结果首先是Candidate，未经作者接受不得覆盖当前Draft。</w:t>
      </w:r>
    </w:p>
    <w:p>
      <w:pPr>
        <w:pStyle w:val="ListNumber"/>
        <w:spacing w:after="40"/>
      </w:pPr>
      <w:r>
        <w:rPr>
          <w:rFonts w:ascii="Noto Sans CJK SC" w:hAnsi="Noto Sans CJK SC" w:eastAsia="Noto Sans CJK SC"/>
          <w:sz w:val="21"/>
        </w:rPr>
        <w:t>project.sqlite是单项目唯一权威数据源，缓存和索引均可重建。</w:t>
      </w:r>
    </w:p>
    <w:p>
      <w:pPr>
        <w:pStyle w:val="ListNumber"/>
        <w:spacing w:after="40"/>
      </w:pPr>
      <w:r>
        <w:rPr>
          <w:rFonts w:ascii="Noto Sans CJK SC" w:hAnsi="Noto Sans CJK SC" w:eastAsia="Noto Sans CJK SC"/>
          <w:sz w:val="21"/>
        </w:rPr>
        <w:t>锁定块、Revision、不可变Version和项目边界由代码校验，而不是依赖Prompt。</w:t>
      </w:r>
    </w:p>
    <w:p>
      <w:pPr>
        <w:pStyle w:val="ListNumber"/>
      </w:pPr>
      <w:r>
        <w:rPr>
          <w:rFonts w:ascii="Noto Sans CJK SC" w:hAnsi="Noto Sans CJK SC" w:eastAsia="Noto Sans CJK SC"/>
        </w:rPr>
        <w:t>长期记忆中的摘要、AI日记和检索结果均为派生信息；不得覆盖定稿正文、作者确认设定和当前权威状态。</w:t>
      </w:r>
    </w:p>
    <w:p>
      <w:pPr>
        <w:pStyle w:val="ListNumber"/>
        <w:spacing w:after="40"/>
      </w:pPr>
      <w:r>
        <w:rPr>
          <w:rFonts w:ascii="Noto Sans CJK SC" w:hAnsi="Noto Sans CJK SC" w:eastAsia="Noto Sans CJK SC"/>
          <w:sz w:val="21"/>
        </w:rPr>
        <w:t>AI可以提出状态变化和问题，但静态设定、定稿正文与权威状态仍由作者确认。</w:t>
      </w:r>
    </w:p>
    <w:p>
      <w:pPr>
        <w:pStyle w:val="Heading2"/>
        <w:keepNext/>
      </w:pPr>
      <w:r>
        <w:t>1.2 v1完成标准</w:t>
      </w:r>
    </w:p>
    <w:p>
      <w:pPr>
        <w:pStyle w:val="ListBullet"/>
        <w:spacing w:after="40"/>
        <w:ind w:left="283" w:hanging="142"/>
      </w:pPr>
      <w:r>
        <w:rPr>
          <w:rFonts w:ascii="Noto Sans CJK SC" w:hAnsi="Noto Sans CJK SC" w:eastAsia="Noto Sans CJK SC"/>
          <w:sz w:val="21"/>
        </w:rPr>
        <w:t>作者可以创建作品、人物、世界规则、大纲、章节和场景节拍。</w:t>
      </w:r>
    </w:p>
    <w:p>
      <w:pPr>
        <w:pStyle w:val="ListBullet"/>
        <w:spacing w:after="40"/>
        <w:ind w:left="283" w:hanging="142"/>
      </w:pPr>
      <w:r>
        <w:rPr>
          <w:rFonts w:ascii="Noto Sans CJK SC" w:hAnsi="Noto Sans CJK SC" w:eastAsia="Noto Sans CJK SC"/>
          <w:sz w:val="21"/>
        </w:rPr>
        <w:t>作者可以调用外部API或已运行的本地兼容API生成骨架、正文和局部重写候选。</w:t>
      </w:r>
    </w:p>
    <w:p>
      <w:pPr>
        <w:pStyle w:val="ListBullet"/>
        <w:spacing w:after="40"/>
        <w:ind w:left="283" w:hanging="142"/>
      </w:pPr>
      <w:r>
        <w:rPr>
          <w:rFonts w:ascii="Noto Sans CJK SC" w:hAnsi="Noto Sans CJK SC" w:eastAsia="Noto Sans CJK SC"/>
          <w:sz w:val="21"/>
        </w:rPr>
        <w:t>候选稿可以比较、部分采用、融合和丢弃，且不会静默覆盖作者正文。</w:t>
      </w:r>
    </w:p>
    <w:p>
      <w:pPr>
        <w:pStyle w:val="ListBullet"/>
        <w:spacing w:after="40"/>
        <w:ind w:left="283" w:hanging="142"/>
      </w:pPr>
      <w:r>
        <w:rPr>
          <w:rFonts w:ascii="Noto Sans CJK SC" w:hAnsi="Noto Sans CJK SC" w:eastAsia="Noto Sans CJK SC"/>
          <w:sz w:val="21"/>
        </w:rPr>
        <w:t>章节定稿后可以提取动态状态变化，作者确认后形成下一章连续性快照。</w:t>
      </w:r>
    </w:p>
    <w:p>
      <w:pPr>
        <w:pStyle w:val="ListBullet"/>
        <w:spacing w:after="40"/>
        <w:ind w:left="283" w:hanging="142"/>
      </w:pPr>
      <w:r>
        <w:rPr>
          <w:rFonts w:ascii="Noto Sans CJK SC" w:hAnsi="Noto Sans CJK SC" w:eastAsia="Noto Sans CJK SC"/>
          <w:sz w:val="21"/>
        </w:rPr>
        <w:t>历史章节返修会提示后续快照失效，但不会自动改写后续正文。</w:t>
      </w:r>
    </w:p>
    <w:p>
      <w:pPr>
        <w:pStyle w:val="ListBullet"/>
        <w:spacing w:after="40"/>
        <w:ind w:left="283" w:hanging="142"/>
      </w:pPr>
      <w:r>
        <w:rPr>
          <w:rFonts w:ascii="Noto Sans CJK SC" w:hAnsi="Noto Sans CJK SC" w:eastAsia="Noto Sans CJK SC"/>
          <w:sz w:val="21"/>
        </w:rPr>
        <w:t>项目可以离线编辑、全文检索、备份、恢复和导出。</w:t>
      </w:r>
    </w:p>
    <w:p>
      <w:pPr>
        <w:pStyle w:val="ListBullet"/>
      </w:pPr>
      <w:r>
        <w:rPr>
          <w:b w:val="0"/>
        </w:rPr>
        <w:t>小白作者可以通过向导在五分钟内建立最小项目并进入第一章，不需要理解工程术语。</w:t>
      </w:r>
    </w:p>
    <w:p>
      <w:pPr>
        <w:pStyle w:val="ListBullet"/>
      </w:pPr>
      <w:r>
        <w:rPr>
          <w:b w:val="0"/>
        </w:rPr>
        <w:t>资深作者可以跳过任务书、大纲和AI生成，直接进入正文编辑并按需调用局部工具。</w:t>
      </w:r>
    </w:p>
    <w:p>
      <w:pPr>
        <w:pStyle w:val="ListBullet"/>
      </w:pPr>
      <w:r>
        <w:rPr>
          <w:b w:val="0"/>
        </w:rPr>
        <w:t>作者可以在同一写作工作台完成编辑、上下文查看、AI操作、候选比较和状态确认。</w:t>
      </w:r>
    </w:p>
    <w:p>
      <w:pPr>
        <w:pStyle w:val="ListBullet"/>
      </w:pPr>
      <w:r>
        <w:rPr>
          <w:rFonts w:ascii="Noto Sans CJK SC" w:hAnsi="Noto Sans CJK SC" w:eastAsia="Noto Sans CJK SC"/>
        </w:rPr>
        <w:t>超长篇项目可以按章节、剧情弧、卷、当前状态和历史账本分层装载记忆，旧状态不会被误当成当前事实。</w:t>
      </w:r>
    </w:p>
    <w:p>
      <w:pPr>
        <w:pStyle w:val="ListBullet"/>
      </w:pPr>
      <w:r>
        <w:rPr>
          <w:rFonts w:ascii="Noto Sans CJK SC" w:hAnsi="Noto Sans CJK SC" w:eastAsia="Noto Sans CJK SC"/>
        </w:rPr>
        <w:t>作者可以手动或按本地计划生成AI项目日记；日记记录变化并链接来源，但不自动修改权威设定。</w:t>
      </w:r>
    </w:p>
    <w:p>
      <w:pPr>
        <w:pStyle w:val="Heading2"/>
        <w:keepNext/>
      </w:pPr>
      <w:r>
        <w:t>1.3 明确非目标</w:t>
      </w:r>
    </w:p>
    <w:p>
      <w:pPr>
        <w:pStyle w:val="ListBullet"/>
        <w:spacing w:after="40"/>
        <w:ind w:left="283" w:hanging="142"/>
      </w:pPr>
      <w:r>
        <w:rPr>
          <w:rFonts w:ascii="Noto Sans CJK SC" w:hAnsi="Noto Sans CJK SC" w:eastAsia="Noto Sans CJK SC"/>
          <w:sz w:val="21"/>
        </w:rPr>
        <w:t>不建设云存储、云同步、账号后台、作品托管或WorldForge请求中转。</w:t>
      </w:r>
    </w:p>
    <w:p>
      <w:pPr>
        <w:pStyle w:val="ListBullet"/>
        <w:spacing w:after="40"/>
        <w:ind w:left="283" w:hanging="142"/>
      </w:pPr>
      <w:r>
        <w:rPr>
          <w:rFonts w:ascii="Noto Sans CJK SC" w:hAnsi="Noto Sans CJK SC" w:eastAsia="Noto Sans CJK SC"/>
          <w:sz w:val="21"/>
        </w:rPr>
        <w:t>不下载、安装、升级或监管本地大模型运行时；用户自行使用Ollama、LM Studio、llama.cpp server或其他服务。</w:t>
      </w:r>
    </w:p>
    <w:p>
      <w:pPr>
        <w:pStyle w:val="ListBullet"/>
        <w:spacing w:after="40"/>
        <w:ind w:left="283" w:hanging="142"/>
      </w:pPr>
      <w:r>
        <w:rPr>
          <w:rFonts w:ascii="Noto Sans CJK SC" w:hAnsi="Noto Sans CJK SC" w:eastAsia="Noto Sans CJK SC"/>
          <w:sz w:val="21"/>
        </w:rPr>
        <w:t>v1不做向量数据库、Embedding、Rerank、MCP、CRDT、插件市场和多人实时协作。</w:t>
      </w:r>
    </w:p>
    <w:p>
      <w:pPr>
        <w:pStyle w:val="ListBullet"/>
        <w:spacing w:after="40"/>
        <w:ind w:left="283" w:hanging="142"/>
      </w:pPr>
      <w:r>
        <w:rPr>
          <w:rFonts w:ascii="Noto Sans CJK SC" w:hAnsi="Noto Sans CJK SC" w:eastAsia="Noto Sans CJK SC"/>
          <w:sz w:val="21"/>
        </w:rPr>
        <w:t>不做读者反馈聚类、平台运营分析、自动发布、无人审核批量生成和AI检测规避。</w:t>
      </w:r>
    </w:p>
    <w:p>
      <w:pPr>
        <w:pStyle w:val="ListBullet"/>
        <w:spacing w:after="40"/>
        <w:ind w:left="283" w:hanging="142"/>
      </w:pPr>
      <w:r>
        <w:rPr>
          <w:rFonts w:ascii="Noto Sans CJK SC" w:hAnsi="Noto Sans CJK SC" w:eastAsia="Noto Sans CJK SC"/>
          <w:sz w:val="21"/>
        </w:rPr>
        <w:t>不自动学习用户创作偏好；作者通过可编辑的作品规则明确约束。</w:t>
      </w:r>
    </w:p>
    <w:p>
      <w:pPr>
        <w:pStyle w:val="Heading1"/>
        <w:keepNext/>
      </w:pPr>
      <w:r>
        <w:t>2. 用户与核心创作闭环</w:t>
      </w:r>
    </w:p>
    <w:p>
      <w:pPr>
        <w:pStyle w:val="Heading2"/>
        <w:keepNext/>
      </w:pPr>
      <w:r>
        <w:t>2.1 目标用户</w:t>
      </w:r>
    </w:p>
    <w:p>
      <w:pPr>
        <w:spacing w:line="324" w:lineRule="auto" w:after="100"/>
        <w:ind w:firstLine="420"/>
      </w:pPr>
      <w:r>
        <w:t>目标用户是独立完成长篇创作的个人作者，覆盖第一次系统写长篇的小白作者，以及已有成熟工作流的资深作者。系统不以作者水平划分数据模型，而通过界面渐进披露降低复杂度：小白获得向导、模板和下一步提示；资深作者获得自由写作、完整上下文和精确控制。</w:t>
      </w:r>
    </w:p>
    <w:p>
      <w:pPr>
        <w:pStyle w:val="Heading2"/>
      </w:pPr>
      <w:r>
        <w:rPr>
          <w:b w:val="0"/>
        </w:rPr>
        <w:t>2.2 双模式与三种创作路径</w:t>
      </w:r>
    </w:p>
    <w:p>
      <w:r>
        <w:rPr>
          <w:b w:val="0"/>
        </w:rPr>
        <w:t>新手模式与专业模式只改变默认入口、字段显隐和操作提示，不创建两套数据，也不限制任何核心能力。作者可以随时切换，切换后正文、设定、版本和连续性信息保持一致。</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58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维度</w:t>
            </w:r>
          </w:p>
        </w:tc>
        <w:tc>
          <w:tcPr>
            <w:tcW w:type="dxa" w:w="3816"/>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新手模式</w:t>
            </w:r>
          </w:p>
        </w:tc>
        <w:tc>
          <w:tcPr>
            <w:tcW w:type="dxa" w:w="410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专业模式</w:t>
            </w:r>
          </w:p>
        </w:tc>
      </w:tr>
      <w:tr>
        <w:trPr>
          <w:cantSplit/>
        </w:trPr>
        <w:tc>
          <w:tcPr>
            <w:tcW w:type="dxa" w:w="15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首页</w:t>
            </w:r>
          </w:p>
        </w:tc>
        <w:tc>
          <w:tcPr>
            <w:tcW w:type="dxa" w:w="381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显示继续写作、建书步骤和下一步建议</w:t>
            </w:r>
          </w:p>
        </w:tc>
        <w:tc>
          <w:tcPr>
            <w:tcW w:type="dxa" w:w="410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显示最近章节、项目概览和快捷入口</w:t>
            </w:r>
          </w:p>
        </w:tc>
      </w:tr>
      <w:tr>
        <w:trPr>
          <w:cantSplit/>
        </w:trPr>
        <w:tc>
          <w:tcPr>
            <w:tcW w:type="dxa" w:w="15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规划</w:t>
            </w:r>
          </w:p>
        </w:tc>
        <w:tc>
          <w:tcPr>
            <w:tcW w:type="dxa" w:w="381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问题式向导、少量必填项、结构模板</w:t>
            </w:r>
          </w:p>
        </w:tc>
        <w:tc>
          <w:tcPr>
            <w:tcW w:type="dxa" w:w="410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完整任务书、大纲树、场景卡和高级字段</w:t>
            </w:r>
          </w:p>
        </w:tc>
      </w:tr>
      <w:tr>
        <w:trPr>
          <w:cantSplit/>
        </w:trPr>
        <w:tc>
          <w:tcPr>
            <w:tcW w:type="dxa" w:w="15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写作</w:t>
            </w:r>
          </w:p>
        </w:tc>
        <w:tc>
          <w:tcPr>
            <w:tcW w:type="dxa" w:w="381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常用AI按钮、解释性提示、隐藏技术术语</w:t>
            </w:r>
          </w:p>
        </w:tc>
        <w:tc>
          <w:tcPr>
            <w:tcW w:type="dxa" w:w="410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完整上下文、来源审计、高级约束和批量操作</w:t>
            </w:r>
          </w:p>
        </w:tc>
      </w:tr>
      <w:tr>
        <w:trPr>
          <w:cantSplit/>
        </w:trPr>
        <w:tc>
          <w:tcPr>
            <w:tcW w:type="dxa" w:w="15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连续性</w:t>
            </w:r>
          </w:p>
        </w:tc>
        <w:tc>
          <w:tcPr>
            <w:tcW w:type="dxa" w:w="381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默认折叠，仅显示高风险提示</w:t>
            </w:r>
          </w:p>
        </w:tc>
        <w:tc>
          <w:tcPr>
            <w:tcW w:type="dxa" w:w="410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时间线、知情、伏笔和状态面板完整开放</w:t>
            </w:r>
          </w:p>
        </w:tc>
      </w:tr>
      <w:tr>
        <w:trPr>
          <w:cantSplit/>
        </w:trPr>
        <w:tc>
          <w:tcPr>
            <w:tcW w:type="dxa" w:w="15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术语</w:t>
            </w:r>
          </w:p>
        </w:tc>
        <w:tc>
          <w:tcPr>
            <w:tcW w:type="dxa" w:w="381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当前稿、AI备选稿、历史版本</w:t>
            </w:r>
          </w:p>
        </w:tc>
        <w:tc>
          <w:tcPr>
            <w:tcW w:type="dxa" w:w="410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可显示Draft、Candidate、Version等审计术语</w:t>
            </w:r>
          </w:p>
        </w:tc>
      </w:tr>
    </w:tbl>
    <w:p>
      <w:r>
        <w:rPr>
          <w:b w:val="0"/>
        </w:rPr>
        <w:t>系统支持三种并列创作路径，任何章节都可单独选择，不要求全书保持同一模式：</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58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路径</w:t>
            </w:r>
          </w:p>
        </w:tc>
        <w:tc>
          <w:tcPr>
            <w:tcW w:type="dxa" w:w="302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适用作者</w:t>
            </w:r>
          </w:p>
        </w:tc>
        <w:tc>
          <w:tcPr>
            <w:tcW w:type="dxa" w:w="4896"/>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最短流程</w:t>
            </w:r>
          </w:p>
        </w:tc>
      </w:tr>
      <w:tr>
        <w:trPr>
          <w:cantSplit/>
        </w:trPr>
        <w:tc>
          <w:tcPr>
            <w:tcW w:type="dxa" w:w="15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自主写作</w:t>
            </w:r>
          </w:p>
        </w:tc>
        <w:tc>
          <w:tcPr>
            <w:tcW w:type="dxa" w:w="302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作者自己完成正文，AI只在需要时介入</w:t>
            </w:r>
          </w:p>
        </w:tc>
        <w:tc>
          <w:tcPr>
            <w:tcW w:type="dxa" w:w="489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直接写作 → 检查 → 定稿</w:t>
            </w:r>
          </w:p>
        </w:tc>
      </w:tr>
      <w:tr>
        <w:trPr>
          <w:cantSplit/>
        </w:trPr>
        <w:tc>
          <w:tcPr>
            <w:tcW w:type="dxa" w:w="15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混合创作</w:t>
            </w:r>
          </w:p>
        </w:tc>
        <w:tc>
          <w:tcPr>
            <w:tcW w:type="dxa" w:w="302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作者掌握结构，AI完成局部场景或过渡</w:t>
            </w:r>
          </w:p>
        </w:tc>
        <w:tc>
          <w:tcPr>
            <w:tcW w:type="dxa" w:w="489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节拍 → 局部生成 → 作者修改 → 定稿</w:t>
            </w:r>
          </w:p>
        </w:tc>
      </w:tr>
      <w:tr>
        <w:trPr>
          <w:cantSplit/>
        </w:trPr>
        <w:tc>
          <w:tcPr>
            <w:tcW w:type="dxa" w:w="15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AI初稿</w:t>
            </w:r>
          </w:p>
        </w:tc>
        <w:tc>
          <w:tcPr>
            <w:tcW w:type="dxa" w:w="302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作者先选结构方案，再让AI扩写整章</w:t>
            </w:r>
          </w:p>
        </w:tc>
        <w:tc>
          <w:tcPr>
            <w:tcW w:type="dxa" w:w="489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T0骨架 → T1正文 → 候选比较 → 定稿</w:t>
            </w:r>
          </w:p>
        </w:tc>
      </w:tr>
    </w:tbl>
    <w:p>
      <w:pPr>
        <w:pStyle w:val="Heading2"/>
        <w:keepNext/>
      </w:pPr>
      <w:r>
        <w:t>2.3 核心创作闭环</w:t>
      </w:r>
    </w:p>
    <w:p>
      <w:pPr>
        <w:jc w:val="center"/>
      </w:pPr>
      <w:r>
        <w:drawing>
          <wp:inline xmlns:a="http://schemas.openxmlformats.org/drawingml/2006/main" xmlns:pic="http://schemas.openxmlformats.org/drawingml/2006/picture">
            <wp:extent cx="6120000" cy="2952000"/>
            <wp:docPr id="2" name="Picture 2" descr="Image: image1.png"/>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0000" cy="2952000"/>
                    </a:xfrm>
                    <a:prstGeom prst="rect"/>
                  </pic:spPr>
                </pic:pic>
              </a:graphicData>
            </a:graphic>
          </wp:inline>
        </w:drawing>
      </w:r>
    </w:p>
    <w:p>
      <w:pPr>
        <w:pStyle w:val="Heading2"/>
        <w:keepNext/>
      </w:pPr>
      <w:r>
        <w:t>2.4 功能价值排序</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213"/>
        <w:gridCol w:w="3213"/>
        <w:gridCol w:w="3213"/>
      </w:tblGrid>
      <w:tr>
        <w:trPr>
          <w:tblHeader w:val="true"/>
          <w:cantSplit/>
          <w:tblHeader w:val="true"/>
        </w:trPr>
        <w:tc>
          <w:tcPr>
            <w:tcW w:type="dxa" w:w="1152"/>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before="40" w:after="0"/>
              <w:jc w:val="center"/>
            </w:pPr>
            <w:r>
              <w:rPr>
                <w:rFonts w:ascii="Noto Sans CJK SC" w:hAnsi="Noto Sans CJK SC" w:eastAsia="Noto Sans CJK SC"/>
                <w:b/>
                <w:color w:val="1F2937"/>
                <w:sz w:val="18"/>
              </w:rPr>
              <w:t>优先级</w:t>
            </w:r>
          </w:p>
        </w:tc>
        <w:tc>
          <w:tcPr>
            <w:tcW w:type="dxa" w:w="3312"/>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before="40" w:after="0"/>
              <w:jc w:val="center"/>
            </w:pPr>
            <w:r>
              <w:rPr>
                <w:rFonts w:ascii="Noto Sans CJK SC" w:hAnsi="Noto Sans CJK SC" w:eastAsia="Noto Sans CJK SC"/>
                <w:b/>
                <w:color w:val="1F2937"/>
                <w:sz w:val="18"/>
              </w:rPr>
              <w:t>功能价值</w:t>
            </w:r>
          </w:p>
        </w:tc>
        <w:tc>
          <w:tcPr>
            <w:tcW w:type="dxa" w:w="4968"/>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before="40" w:after="0"/>
              <w:jc w:val="center"/>
            </w:pPr>
            <w:r>
              <w:rPr>
                <w:rFonts w:ascii="Noto Sans CJK SC" w:hAnsi="Noto Sans CJK SC" w:eastAsia="Noto Sans CJK SC"/>
                <w:b/>
                <w:color w:val="1F2937"/>
                <w:sz w:val="18"/>
              </w:rPr>
              <w:t>判断标准</w:t>
            </w:r>
          </w:p>
        </w:tc>
      </w:tr>
      <w:tr>
        <w:trPr>
          <w:cantSplit/>
        </w:trPr>
        <w:tc>
          <w:tcPr>
            <w:tcW w:type="dxa" w:w="115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w:t>
            </w:r>
          </w:p>
        </w:tc>
        <w:tc>
          <w:tcPr>
            <w:tcW w:type="dxa" w:w="331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保证正文安全和作者控制</w:t>
            </w:r>
          </w:p>
        </w:tc>
        <w:tc>
          <w:tcPr>
            <w:tcW w:type="dxa" w:w="49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不丢稿、不越权、不覆盖、可回滚</w:t>
            </w:r>
          </w:p>
        </w:tc>
      </w:tr>
      <w:tr>
        <w:trPr>
          <w:cantSplit/>
        </w:trPr>
        <w:tc>
          <w:tcPr>
            <w:tcW w:type="dxa" w:w="1152"/>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w:t>
            </w:r>
          </w:p>
        </w:tc>
        <w:tc>
          <w:tcPr>
            <w:tcW w:type="dxa" w:w="3312"/>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保证长篇连续性</w:t>
            </w:r>
          </w:p>
        </w:tc>
        <w:tc>
          <w:tcPr>
            <w:tcW w:type="dxa" w:w="4968"/>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状态、时间、知情、伏笔可以跨章追踪</w:t>
            </w:r>
          </w:p>
        </w:tc>
      </w:tr>
      <w:tr>
        <w:trPr>
          <w:cantSplit/>
        </w:trPr>
        <w:tc>
          <w:tcPr>
            <w:tcW w:type="dxa" w:w="115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w:t>
            </w:r>
          </w:p>
        </w:tc>
        <w:tc>
          <w:tcPr>
            <w:tcW w:type="dxa" w:w="331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降低AI试错成本</w:t>
            </w:r>
          </w:p>
        </w:tc>
        <w:tc>
          <w:tcPr>
            <w:tcW w:type="dxa" w:w="49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先骨架后正文，候选可选可弃</w:t>
            </w:r>
          </w:p>
        </w:tc>
      </w:tr>
      <w:tr>
        <w:trPr>
          <w:cantSplit/>
        </w:trPr>
        <w:tc>
          <w:tcPr>
            <w:tcW w:type="dxa" w:w="1152"/>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P1</w:t>
            </w:r>
          </w:p>
        </w:tc>
        <w:tc>
          <w:tcPr>
            <w:tcW w:type="dxa" w:w="3312"/>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提高修订效率</w:t>
            </w:r>
          </w:p>
        </w:tc>
        <w:tc>
          <w:tcPr>
            <w:tcW w:type="dxa" w:w="4968"/>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校验、搜索、待修清单和批注</w:t>
            </w:r>
          </w:p>
        </w:tc>
      </w:tr>
      <w:tr>
        <w:trPr>
          <w:cantSplit/>
        </w:trPr>
        <w:tc>
          <w:tcPr>
            <w:tcW w:type="dxa" w:w="115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P1</w:t>
            </w:r>
          </w:p>
        </w:tc>
        <w:tc>
          <w:tcPr>
            <w:tcW w:type="dxa" w:w="331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提高迁移与交付效率</w:t>
            </w:r>
          </w:p>
        </w:tc>
        <w:tc>
          <w:tcPr>
            <w:tcW w:type="dxa" w:w="49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基础导入、导出和本地备份</w:t>
            </w:r>
          </w:p>
        </w:tc>
      </w:tr>
      <w:tr>
        <w:trPr>
          <w:cantSplit/>
        </w:trPr>
        <w:tc>
          <w:tcPr>
            <w:tcW w:type="dxa" w:w="1152"/>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后续</w:t>
            </w:r>
          </w:p>
        </w:tc>
        <w:tc>
          <w:tcPr>
            <w:tcW w:type="dxa" w:w="3312"/>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运营、协作和生态</w:t>
            </w:r>
          </w:p>
        </w:tc>
        <w:tc>
          <w:tcPr>
            <w:tcW w:type="dxa" w:w="4968"/>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仅在真实用户需求证明必要后立项</w:t>
            </w:r>
          </w:p>
        </w:tc>
      </w:tr>
      <w:tr>
        <w:trPr>
          <w:cantSplit/>
        </w:trPr>
        <w:tc>
          <w:tcPr>
            <w:tcW w:type="dxa" w:w="115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P0</w:t>
            </w:r>
          </w:p>
        </w:tc>
        <w:tc>
          <w:tcPr>
            <w:tcW w:type="dxa" w:w="331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保证新手可开始、资深作者不受流程束缚</w:t>
            </w:r>
          </w:p>
        </w:tc>
        <w:tc>
          <w:tcPr>
            <w:tcW w:type="dxa" w:w="496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五分钟进入第一章；可直接自由写作</w:t>
            </w:r>
          </w:p>
        </w:tc>
      </w:tr>
    </w:tbl>
    <w:p>
      <w:pPr>
        <w:pStyle w:val="Heading1"/>
        <w:keepNext/>
      </w:pPr>
      <w:r>
        <w:t>3. v1功能范围与优先级</w:t>
      </w:r>
    </w:p>
    <w:p>
      <w:pPr>
        <w:pStyle w:val="Heading2"/>
        <w:keepNext/>
      </w:pPr>
      <w:r>
        <w:t>3.1 P0核心功能</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blHeader w:val="true"/>
          <w:tblHeader w:val="true"/>
          <w:tblHeader w:val="true"/>
          <w:tblHeader w:val="true"/>
          <w:tblHeader w:val="true"/>
        </w:trPr>
        <w:tc>
          <w:tcPr>
            <w:tcW w:type="dxa" w:w="1757"/>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jc w:val="center"/>
            </w:pPr>
            <w:r>
              <w:rPr>
                <w:rFonts w:ascii="Noto Sans CJK SC" w:hAnsi="Noto Sans CJK SC" w:eastAsia="Noto Sans CJK SC"/>
                <w:b/>
                <w:color w:val="1C2F2B"/>
                <w:sz w:val="17"/>
              </w:rPr>
              <w:t>模块</w:t>
            </w:r>
          </w:p>
        </w:tc>
        <w:tc>
          <w:tcPr>
            <w:tcW w:type="dxa" w:w="7654"/>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jc w:val="center"/>
            </w:pPr>
            <w:r>
              <w:rPr>
                <w:rFonts w:ascii="Noto Sans CJK SC" w:hAnsi="Noto Sans CJK SC" w:eastAsia="Noto Sans CJK SC"/>
                <w:b/>
                <w:color w:val="1C2F2B"/>
                <w:sz w:val="17"/>
              </w:rPr>
              <w:t>功能</w:t>
            </w:r>
          </w:p>
        </w:tc>
      </w:tr>
      <w:tr>
        <w:trPr>
          <w:cantSplit/>
        </w:trPr>
        <w:tc>
          <w:tcPr>
            <w:tcW w:type="dxa" w:w="17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项目</w:t>
            </w:r>
          </w:p>
        </w:tc>
        <w:tc>
          <w:tcPr>
            <w:tcW w:type="dxa" w:w="765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项目创建、打开、移动、备份、恢复、Schema迁移</w:t>
            </w:r>
          </w:p>
        </w:tc>
      </w:tr>
      <w:tr>
        <w:trPr>
          <w:cantSplit/>
        </w:trPr>
        <w:tc>
          <w:tcPr>
            <w:tcW w:type="dxa" w:w="17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规划</w:t>
            </w:r>
          </w:p>
        </w:tc>
        <w:tc>
          <w:tcPr>
            <w:tcW w:type="dxa" w:w="765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作品任务书、大纲、章节、节拍、人物、地点、世界规则</w:t>
            </w:r>
          </w:p>
        </w:tc>
      </w:tr>
      <w:tr>
        <w:trPr>
          <w:cantSplit/>
        </w:trPr>
        <w:tc>
          <w:tcPr>
            <w:tcW w:type="dxa" w:w="17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连续性</w:t>
            </w:r>
          </w:p>
        </w:tc>
        <w:tc>
          <w:tcPr>
            <w:tcW w:type="dxa" w:w="765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简单时间线、人物状态、知情信息、伏笔、章节尾快照</w:t>
            </w:r>
          </w:p>
        </w:tc>
      </w:tr>
      <w:tr>
        <w:trPr>
          <w:cantSplit/>
        </w:trPr>
        <w:tc>
          <w:tcPr>
            <w:tcW w:type="dxa" w:w="17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编辑</w:t>
            </w:r>
          </w:p>
        </w:tc>
        <w:tc>
          <w:tcPr>
            <w:tcW w:type="dxa" w:w="765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块级正文、自动保存、锁定、Revision、撤销重做</w:t>
            </w:r>
          </w:p>
        </w:tc>
      </w:tr>
      <w:tr>
        <w:trPr>
          <w:cantSplit/>
        </w:trPr>
        <w:tc>
          <w:tcPr>
            <w:tcW w:type="dxa" w:w="17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版本</w:t>
            </w:r>
          </w:p>
        </w:tc>
        <w:tc>
          <w:tcPr>
            <w:tcW w:type="dxa" w:w="765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Draft、Candidate、不可变Version、历史恢复</w:t>
            </w:r>
          </w:p>
        </w:tc>
      </w:tr>
      <w:tr>
        <w:trPr>
          <w:cantSplit/>
        </w:trPr>
        <w:tc>
          <w:tcPr>
            <w:tcW w:type="dxa" w:w="17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AI</w:t>
            </w:r>
          </w:p>
        </w:tc>
        <w:tc>
          <w:tcPr>
            <w:tcW w:type="dxa" w:w="765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Provider配置、连接测试、T0、T1、局部重写、融合、取消</w:t>
            </w:r>
          </w:p>
        </w:tc>
      </w:tr>
      <w:tr>
        <w:trPr>
          <w:cantSplit/>
        </w:trPr>
        <w:tc>
          <w:tcPr>
            <w:tcW w:type="dxa" w:w="17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校验</w:t>
            </w:r>
          </w:p>
        </w:tc>
        <w:tc>
          <w:tcPr>
            <w:tcW w:type="dxa" w:w="765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结构、连续性、设定、文风与机械表达风险</w:t>
            </w:r>
          </w:p>
        </w:tc>
      </w:tr>
      <w:tr>
        <w:trPr>
          <w:cantSplit/>
        </w:trPr>
        <w:tc>
          <w:tcPr>
            <w:tcW w:type="dxa" w:w="17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交付</w:t>
            </w:r>
          </w:p>
        </w:tc>
        <w:tc>
          <w:tcPr>
            <w:tcW w:type="dxa" w:w="765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TXT、Markdown、DOCX导出和本地项目备份</w:t>
            </w:r>
          </w:p>
        </w:tc>
      </w:tr>
      <w:tr>
        <w:trPr>
          <w:cantSplit/>
        </w:trPr>
        <w:tc>
          <w:tcPr>
            <w:tcW w:type="dxa" w:w="1757"/>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体验</w:t>
            </w:r>
          </w:p>
        </w:tc>
        <w:tc>
          <w:tcPr>
            <w:tcW w:type="dxa" w:w="765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双模式、新建向导、三大工作台、候选对比、聚焦模式、快捷键、状态反馈</w:t>
            </w:r>
          </w:p>
        </w:tc>
      </w:tr>
      <w:tr>
        <w:trPr>
          <w:cantSplit/>
        </w:trPr>
        <w:tc>
          <w:tcPr>
            <w:tcW w:type="dxa" w:w="17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章节结构</w:t>
            </w:r>
          </w:p>
        </w:tc>
        <w:tc>
          <w:tcPr>
            <w:tcW w:type="dxa" w:w="765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拆分章节、合并章节、场景跨章移动；所有操作保留来源并使用事务</w:t>
            </w:r>
          </w:p>
        </w:tc>
      </w:tr>
      <w:tr>
        <w:trPr>
          <w:cantSplit/>
        </w:trPr>
        <w:tc>
          <w:tcPr>
            <w:tcW w:type="dxa" w:w="17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校对</w:t>
            </w:r>
          </w:p>
        </w:tc>
        <w:tc>
          <w:tcPr>
            <w:tcW w:type="dxa" w:w="765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离线错字/标点基础检查、项目专名词典、忽略误报</w:t>
            </w:r>
          </w:p>
        </w:tc>
      </w:tr>
      <w:tr>
        <w:trPr>
          <w:cantSplit/>
        </w:trPr>
        <w:tc>
          <w:tcPr>
            <w:tcW w:type="dxa" w:w="1757"/>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导入</w:t>
            </w:r>
          </w:p>
        </w:tc>
        <w:tc>
          <w:tcPr>
            <w:tcW w:type="dxa" w:w="7654"/>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TXT/Markdown/DOCX解析预览、章节边界调整后再提交</w:t>
            </w:r>
          </w:p>
        </w:tc>
      </w:tr>
      <w:tr>
        <w:trPr>
          <w:cantSplit/>
        </w:trPr>
        <w:tc>
          <w:tcPr>
            <w:tcW w:type="dxa" w:w="1757"/>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运行体验</w:t>
            </w:r>
          </w:p>
        </w:tc>
        <w:tc>
          <w:tcPr>
            <w:tcW w:type="dxa" w:w="7654"/>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AI任务条、切换页面续跑、关窗确认、部分候选保存</w:t>
            </w:r>
          </w:p>
        </w:tc>
      </w:tr>
      <w:tr>
        <w:tc>
          <w:tcPr>
            <w:tcW w:type="dxa" w:w="1757"/>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生命周期</w:t>
            </w:r>
          </w:p>
        </w:tc>
        <w:tc>
          <w:tcPr>
            <w:tcW w:type="dxa" w:w="765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卷、章节和场景进入回收站后可恢复；永久删除需二次确认</w:t>
            </w:r>
          </w:p>
        </w:tc>
      </w:tr>
      <w:tr>
        <w:tc>
          <w:tcPr>
            <w:tcW w:type="dxa" w:w="1757"/>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自动备份</w:t>
            </w:r>
          </w:p>
        </w:tc>
        <w:tc>
          <w:tcPr>
            <w:tcW w:type="dxa" w:w="765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日常滚动备份、迁移前备份、导入及批量操作恢复点</w:t>
            </w:r>
          </w:p>
        </w:tc>
      </w:tr>
      <w:tr>
        <w:tc>
          <w:tcPr>
            <w:tcW w:type="dxa" w:w="1757"/>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编辑器基础</w:t>
            </w:r>
          </w:p>
        </w:tc>
        <w:tc>
          <w:tcPr>
            <w:tcW w:type="dxa" w:w="765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粘贴清理、最小格式、IME安全、章节内查找、撤销重做规则</w:t>
            </w:r>
          </w:p>
        </w:tc>
      </w:tr>
      <w:tr>
        <w:tc>
          <w:tcPr>
            <w:tcW w:type="dxa" w:w="1757"/>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统计</w:t>
            </w:r>
          </w:p>
        </w:tc>
        <w:tc>
          <w:tcPr>
            <w:tcW w:type="dxa" w:w="7654"/>
            <w:vAlign w:val="center"/>
            <w:tcBorders>
              <w:top w:val="single" w:sz="4" w:color="D9DEE7"/>
              <w:left w:val="single" w:sz="4" w:color="D9DEE7"/>
              <w:bottom w:val="single" w:sz="4" w:color="D9DEE7"/>
              <w:right w:val="single" w:sz="4" w:color="D9DEE7"/>
            </w:tcBorders>
            <w:tcMar>
              <w:top w:w="80" w:type="dxa"/>
              <w:start w:w="100" w:type="dxa"/>
              <w:bottom w:w="80" w:type="dxa"/>
              <w:end w:w="100" w:type="dxa"/>
            </w:tcMar>
          </w:tcPr>
          <w:p>
            <w:pPr>
              <w:spacing w:before="0" w:after="0"/>
            </w:pPr>
            <w:r>
              <w:rPr>
                <w:rFonts w:ascii="Noto Sans CJK SC" w:hAnsi="Noto Sans CJK SC" w:eastAsia="Noto Sans CJK SC"/>
                <w:b w:val="0"/>
                <w:color w:val="232323"/>
                <w:sz w:val="17"/>
              </w:rPr>
              <w:t>统一正文字符数、纯文字字数、章节目标与实际进度</w:t>
            </w:r>
          </w:p>
        </w:tc>
      </w:tr>
      <w:tr>
        <w:tc>
          <w:tcPr>
            <w:tcW w:type="dxa" w:w="1757"/>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设置</w:t>
            </w:r>
          </w:p>
        </w:tc>
        <w:tc>
          <w:tcPr>
            <w:tcW w:type="dxa" w:w="7654"/>
            <w:vAlign w:val="center"/>
            <w:tcBorders>
              <w:top w:val="single" w:sz="4" w:color="D9DEE7"/>
              <w:left w:val="single" w:sz="4" w:color="D9DEE7"/>
              <w:bottom w:val="single" w:sz="4" w:color="D9DEE7"/>
              <w:right w:val="single" w:sz="4" w:color="D9DEE7"/>
            </w:tcBorders>
            <w:shd w:fill="FAFBFD"/>
            <w:tcMar>
              <w:top w:w="80" w:type="dxa"/>
              <w:start w:w="100" w:type="dxa"/>
              <w:bottom w:w="80" w:type="dxa"/>
              <w:end w:w="100" w:type="dxa"/>
            </w:tcMar>
          </w:tcPr>
          <w:p>
            <w:pPr>
              <w:spacing w:before="0" w:after="0"/>
            </w:pPr>
            <w:r>
              <w:rPr>
                <w:rFonts w:ascii="Noto Sans CJK SC" w:hAnsi="Noto Sans CJK SC" w:eastAsia="Noto Sans CJK SC"/>
                <w:b w:val="0"/>
                <w:color w:val="232323"/>
                <w:sz w:val="17"/>
              </w:rPr>
              <w:t>通用、编辑器、AI连接、备份、检查词典和高级设置统一入口</w:t>
            </w:r>
          </w:p>
        </w:tc>
      </w:tr>
      <w:tr>
        <w:tc>
          <w:tcPr>
            <w:tcW w:type="dxa" w:w="17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AI质量门槛</w:t>
            </w:r>
          </w:p>
        </w:tc>
        <w:tc>
          <w:tcPr>
            <w:tcW w:type="dxa" w:w="765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T0/T1本地Eval、结构化测试夹具、模型/Prompt回归、未达标时允许绕过AI流程</w:t>
            </w:r>
          </w:p>
        </w:tc>
      </w:tr>
      <w:tr>
        <w:tc>
          <w:tcPr>
            <w:tcW w:type="dxa" w:w="17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候选审阅</w:t>
            </w:r>
          </w:p>
        </w:tc>
        <w:tc>
          <w:tcPr>
            <w:tcW w:type="dxa" w:w="765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全屏双栏、单稿专注、只看差异、折叠未改段、场景导航、同步滚动与解除同步</w:t>
            </w:r>
          </w:p>
        </w:tc>
      </w:tr>
      <w:tr>
        <w:tc>
          <w:tcPr>
            <w:tcW w:type="dxa" w:w="17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候选回退</w:t>
            </w:r>
          </w:p>
        </w:tc>
        <w:tc>
          <w:tcPr>
            <w:tcW w:type="dxa" w:w="765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采用Candidate写入单一原子事务；Ctrl/Cmd+Z整体撤销；重启后可恢复到采用前快照</w:t>
            </w:r>
          </w:p>
        </w:tc>
      </w:tr>
      <w:tr>
        <w:tc>
          <w:tcPr>
            <w:tcW w:type="dxa" w:w="17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写作辅助</w:t>
            </w:r>
          </w:p>
        </w:tc>
        <w:tc>
          <w:tcPr>
            <w:tcW w:type="dxa" w:w="765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沉浸写作视图、上下文帮助、通俗术语、确定性AI建议和真实阶段进度</w:t>
            </w:r>
          </w:p>
        </w:tc>
      </w:tr>
      <w:tr>
        <w:tc>
          <w:tcPr>
            <w:tcW w:type="dxa" w:w="17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锁定感知</w:t>
            </w:r>
          </w:p>
        </w:tc>
        <w:tc>
          <w:tcPr>
            <w:tcW w:type="dxa" w:w="765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锁定线、锁图标、悬停说明、来源模式追溯和AI跳过锁定块摘要</w:t>
            </w:r>
          </w:p>
        </w:tc>
      </w:tr>
      <w:tr>
        <w:tc>
          <w:tcPr>
            <w:tcW w:type="dxa" w:w="17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超长篇记忆</w:t>
            </w:r>
          </w:p>
        </w:tc>
        <w:tc>
          <w:tcPr>
            <w:tcW w:type="dxa" w:w="765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L0-L5分层记忆、时序状态、卷/剧情弧摘要、热温冷分区、检查点和失效传播</w:t>
            </w:r>
          </w:p>
        </w:tc>
      </w:tr>
      <w:tr>
        <w:tc>
          <w:tcPr>
            <w:tcW w:type="dxa" w:w="17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AI项目日记</w:t>
            </w:r>
          </w:p>
        </w:tc>
        <w:tc>
          <w:tcPr>
            <w:tcW w:type="dxa" w:w="765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手动或定时生成项目日志；记录已确认设定变化、世界观、剧情进度、伏笔、风险和下一步关注项</w:t>
            </w:r>
          </w:p>
        </w:tc>
      </w:tr>
    </w:tbl>
    <w:p>
      <w:pPr>
        <w:pStyle w:val="Heading2"/>
        <w:keepNext/>
      </w:pPr>
      <w:r>
        <w:t>3.2 P1实用功能</w:t>
      </w:r>
    </w:p>
    <w:p>
      <w:pPr>
        <w:pStyle w:val="ListBullet"/>
        <w:spacing w:after="40"/>
        <w:ind w:left="283" w:hanging="142"/>
      </w:pPr>
      <w:r>
        <w:rPr>
          <w:rFonts w:ascii="Noto Sans CJK SC" w:hAnsi="Noto Sans CJK SC" w:eastAsia="Noto Sans CJK SC"/>
          <w:sz w:val="21"/>
        </w:rPr>
        <w:t>全项目搜索和安全批量替换。</w:t>
      </w:r>
    </w:p>
    <w:p>
      <w:pPr>
        <w:pStyle w:val="ListBullet"/>
        <w:spacing w:after="40"/>
        <w:ind w:left="283" w:hanging="142"/>
      </w:pPr>
      <w:r>
        <w:rPr>
          <w:rFonts w:ascii="Noto Sans CJK SC" w:hAnsi="Noto Sans CJK SC" w:eastAsia="Noto Sans CJK SC"/>
          <w:sz w:val="21"/>
        </w:rPr>
        <w:t>简单研究笔记、来源链接与本地附件关联。</w:t>
      </w:r>
    </w:p>
    <w:p>
      <w:pPr>
        <w:pStyle w:val="ListBullet"/>
        <w:spacing w:after="40"/>
        <w:ind w:left="283" w:hanging="142"/>
      </w:pPr>
      <w:r>
        <w:rPr>
          <w:rFonts w:ascii="Noto Sans CJK SC" w:hAnsi="Noto Sans CJK SC" w:eastAsia="Noto Sans CJK SC"/>
          <w:sz w:val="21"/>
        </w:rPr>
        <w:t>段落批注、章节待办和修订检查表。</w:t>
      </w:r>
    </w:p>
    <w:p>
      <w:pPr>
        <w:pStyle w:val="ListBullet"/>
        <w:spacing w:after="40"/>
        <w:ind w:left="283" w:hanging="142"/>
      </w:pPr>
      <w:r>
        <w:rPr>
          <w:rFonts w:ascii="Noto Sans CJK SC" w:hAnsi="Noto Sans CJK SC" w:eastAsia="Noto Sans CJK SC"/>
          <w:sz w:val="21"/>
        </w:rPr>
        <w:t>已有文本基础导入和章节拆分。</w:t>
      </w:r>
    </w:p>
    <w:p>
      <w:pPr>
        <w:pStyle w:val="ListBullet"/>
        <w:spacing w:after="40"/>
        <w:ind w:left="283" w:hanging="142"/>
      </w:pPr>
      <w:r>
        <w:rPr>
          <w:rFonts w:ascii="Noto Sans CJK SC" w:hAnsi="Noto Sans CJK SC" w:eastAsia="Noto Sans CJK SC"/>
          <w:sz w:val="21"/>
        </w:rPr>
        <w:t>可选记录已发布版本，用于提示当前稿与已发布稿存在差异。</w:t>
      </w:r>
    </w:p>
    <w:p>
      <w:pPr>
        <w:pStyle w:val="ListBullet"/>
      </w:pPr>
      <w:r>
        <w:rPr>
          <w:b w:val="0"/>
        </w:rPr>
        <w:t>聚焦写作模式、常用快捷键和上次编辑位置恢复。</w:t>
      </w:r>
    </w:p>
    <w:p>
      <w:pPr>
        <w:pStyle w:val="ListBullet"/>
      </w:pPr>
      <w:r>
        <w:rPr>
          <w:b w:val="0"/>
        </w:rPr>
        <w:t>中性演示项目与可关闭的新手提示。</w:t>
      </w:r>
    </w:p>
    <w:p>
      <w:pPr>
        <w:pStyle w:val="ListBullet"/>
      </w:pPr>
      <w:r>
        <w:rPr>
          <w:b w:val="0"/>
        </w:rPr>
        <w:t>场景卡片板、逐段候选采用和短时撤销。</w:t>
      </w:r>
    </w:p>
    <w:p>
      <w:pPr>
        <w:pStyle w:val="Heading2"/>
        <w:keepNext/>
      </w:pPr>
      <w:r>
        <w:t>3.3 后续候选功能</w:t>
      </w:r>
    </w:p>
    <w:p>
      <w:pPr>
        <w:spacing w:line="324" w:lineRule="auto" w:after="100"/>
        <w:ind w:firstLine="420"/>
      </w:pPr>
      <w:r>
        <w:rPr>
          <w:rFonts w:ascii="Noto Sans CJK SC" w:hAnsi="Noto Sans CJK SC" w:eastAsia="Noto Sans CJK SC"/>
          <w:sz w:val="21"/>
        </w:rPr>
        <w:t>以下功能不在v1预建抽象层，只有在真实使用数据证明必要后才进入独立立项：语义向量检索、本地模型安装管理、多人协作、插件生态、平台发布、反馈分析、自动偏好学习。</w:t>
      </w:r>
    </w:p>
    <w:p>
      <w:pPr>
        <w:pStyle w:val="Heading1"/>
        <w:keepNext/>
      </w:pPr>
      <w:r>
        <w:t>4. 精简总体架构与技术选型</w:t>
      </w:r>
    </w:p>
    <w:p>
      <w:pPr>
        <w:jc w:val="center"/>
      </w:pPr>
      <w:r>
        <w:drawing>
          <wp:inline xmlns:a="http://schemas.openxmlformats.org/drawingml/2006/main" xmlns:pic="http://schemas.openxmlformats.org/drawingml/2006/picture">
            <wp:extent cx="6120000" cy="3825000"/>
            <wp:docPr id="3" name="Picture 3" descr="Image: 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0000" cy="3825000"/>
                    </a:xfrm>
                    <a:prstGeom prst="rect"/>
                  </pic:spPr>
                </pic:pic>
              </a:graphicData>
            </a:graphic>
          </wp:inline>
        </w:drawing>
      </w:r>
    </w:p>
    <w:p>
      <w:pPr>
        <w:pStyle w:val="Heading2"/>
        <w:keepNext/>
      </w:pPr>
      <w:r>
        <w:t>4.1 运行进程</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213"/>
        <w:gridCol w:w="3213"/>
        <w:gridCol w:w="3213"/>
      </w:tblGrid>
      <w:tr>
        <w:trPr>
          <w:tblHeader w:val="true"/>
          <w:cantSplit/>
          <w:tblHeader w:val="true"/>
        </w:trPr>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进程</w:t>
            </w:r>
          </w:p>
        </w:tc>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职责</w:t>
            </w:r>
          </w:p>
        </w:tc>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禁止事项</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Electron Main</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窗口、生命周期、系统菜单、凭据入口、Core进程监管</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不执行重型SQL、不保存正文、不直接调用模型</w:t>
            </w:r>
          </w:p>
        </w:tc>
      </w:tr>
      <w:tr>
        <w:trPr>
          <w:cantSplit/>
        </w:trPr>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Renderer</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React界面、编辑器、状态展示、用户操作</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不直接访问SQLite、文件系统和密钥</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Core Service Utility Process</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SQLite唯一写入、文件、FTS5、AI调用、生成流、校验、备份</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不把正文上传到WorldForge服务，不修改非目标项目</w:t>
            </w:r>
          </w:p>
        </w:tc>
      </w:tr>
    </w:tbl>
    <w:p>
      <w:pPr>
        <w:pStyle w:val="Heading2"/>
        <w:keepNext/>
      </w:pPr>
      <w:r>
        <w:t>4.2 最终技术栈</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213"/>
        <w:gridCol w:w="3213"/>
        <w:gridCol w:w="3213"/>
      </w:tblGrid>
      <w:tr>
        <w:trPr>
          <w:tblHeader w:val="true"/>
          <w:cantSplit/>
          <w:tblHeader w:val="true"/>
          <w:tblHeader w:val="true"/>
          <w:tblHeader w:val="true"/>
        </w:trPr>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层级</w:t>
            </w:r>
          </w:p>
        </w:tc>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技术</w:t>
            </w:r>
          </w:p>
        </w:tc>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理由</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桌面端</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Electron</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Chromium一致性、Node能力、适合复杂编辑器</w:t>
            </w:r>
          </w:p>
        </w:tc>
      </w:tr>
      <w:tr>
        <w:trPr>
          <w:cantSplit/>
        </w:trPr>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前端</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React + TypeScript + Vite</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生态成熟、类型共享、AI编程友好</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状态管理</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Zustand</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轻量、局部状态清晰</w:t>
            </w:r>
          </w:p>
        </w:tc>
      </w:tr>
      <w:tr>
        <w:trPr>
          <w:cantSplit/>
        </w:trPr>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编辑器</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Tiptap + ProseMirror</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结构化文档、事务、节点属性和扩展能力</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数据库</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SQLite + better-sqlite3</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本地单文件、事务可靠、FTS5、在线备份</w:t>
            </w:r>
          </w:p>
        </w:tc>
      </w:tr>
      <w:tr>
        <w:trPr>
          <w:cantSplit/>
        </w:trPr>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数据校验</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Zod + JSON Schema</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IPC、AI结构化输出和配置统一验证</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进程通信</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Electron IPC / MessagePort</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无需本地HTTP服务和端口管理</w:t>
            </w:r>
          </w:p>
        </w:tc>
      </w:tr>
      <w:tr>
        <w:trPr>
          <w:cantSplit/>
        </w:trPr>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测试</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Vitest + Playwright</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单元、集成和桌面E2E覆盖</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构建</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pnpm workspace + electron-builder</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单仓库管理和桌面打包</w:t>
            </w:r>
          </w:p>
        </w:tc>
      </w:tr>
      <w:tr>
        <w:trPr>
          <w:cantSplit/>
        </w:trPr>
        <w:tc>
          <w:tcPr>
            <w:tcW w:type="dxa" w:w="3213"/>
            <w:vAlign w:val="center"/>
            <w:tcMar>
              <w:top w:w="90" w:type="dxa"/>
              <w:start w:w="110" w:type="dxa"/>
              <w:bottom w:w="90" w:type="dxa"/>
              <w:end w:w="110" w:type="dxa"/>
            </w:tcMar>
            <w:shd w:fill="F8FAFD"/>
          </w:tcPr>
          <w:p>
            <w:pPr>
              <w:spacing w:after="0"/>
            </w:pPr>
            <w:r>
              <w:rPr>
                <w:rFonts w:ascii="Noto Sans CJK SC" w:hAnsi="Noto Sans CJK SC" w:eastAsia="Noto Sans CJK SC"/>
                <w:sz w:val="18"/>
              </w:rPr>
              <w:t>文本差异</w:t>
            </w:r>
          </w:p>
        </w:tc>
        <w:tc>
          <w:tcPr>
            <w:tcW w:type="dxa" w:w="3213"/>
            <w:vAlign w:val="center"/>
            <w:tcMar>
              <w:top w:w="90" w:type="dxa"/>
              <w:start w:w="110" w:type="dxa"/>
              <w:bottom w:w="90" w:type="dxa"/>
              <w:end w:w="110" w:type="dxa"/>
            </w:tcMar>
            <w:shd w:fill="F8FAFD"/>
          </w:tcPr>
          <w:p>
            <w:pPr>
              <w:spacing w:after="0"/>
            </w:pPr>
            <w:r>
              <w:rPr>
                <w:rFonts w:ascii="Noto Sans CJK SC" w:hAnsi="Noto Sans CJK SC" w:eastAsia="Noto Sans CJK SC"/>
                <w:sz w:val="18"/>
              </w:rPr>
              <w:t>logicalBlockId结构Diff + 块内文本Diff</w:t>
            </w:r>
          </w:p>
        </w:tc>
        <w:tc>
          <w:tcPr>
            <w:tcW w:type="dxa" w:w="3213"/>
            <w:vAlign w:val="center"/>
            <w:tcMar>
              <w:top w:w="90" w:type="dxa"/>
              <w:start w:w="110" w:type="dxa"/>
              <w:bottom w:w="90" w:type="dxa"/>
              <w:end w:w="110" w:type="dxa"/>
            </w:tcMar>
            <w:shd w:fill="F8FAFD"/>
          </w:tcPr>
          <w:p>
            <w:pPr>
              <w:spacing w:after="0"/>
            </w:pPr>
            <w:r>
              <w:rPr>
                <w:rFonts w:ascii="Noto Sans CJK SC" w:hAnsi="Noto Sans CJK SC" w:eastAsia="Noto Sans CJK SC"/>
                <w:sz w:val="18"/>
              </w:rPr>
              <w:t>支持中文长段落的稳定逐块采用</w:t>
            </w:r>
          </w:p>
        </w:tc>
      </w:tr>
      <w:tr>
        <w:trPr>
          <w:cantSplit/>
        </w:trPr>
        <w:tc>
          <w:tcPr>
            <w:tcW w:type="dxa" w:w="3213"/>
            <w:vAlign w:val="center"/>
            <w:tcMar>
              <w:top w:w="90" w:type="dxa"/>
              <w:start w:w="110" w:type="dxa"/>
              <w:bottom w:w="90" w:type="dxa"/>
              <w:end w:w="110" w:type="dxa"/>
            </w:tcMar>
          </w:tcPr>
          <w:p>
            <w:pPr>
              <w:spacing w:after="0"/>
            </w:pPr>
            <w:r>
              <w:rPr>
                <w:rFonts w:ascii="Noto Sans CJK SC" w:hAnsi="Noto Sans CJK SC" w:eastAsia="Noto Sans CJK SC"/>
                <w:sz w:val="18"/>
              </w:rPr>
              <w:t>基础校对</w:t>
            </w:r>
          </w:p>
        </w:tc>
        <w:tc>
          <w:tcPr>
            <w:tcW w:type="dxa" w:w="3213"/>
            <w:vAlign w:val="center"/>
            <w:tcMar>
              <w:top w:w="90" w:type="dxa"/>
              <w:start w:w="110" w:type="dxa"/>
              <w:bottom w:w="90" w:type="dxa"/>
              <w:end w:w="110" w:type="dxa"/>
            </w:tcMar>
          </w:tcPr>
          <w:p>
            <w:pPr>
              <w:spacing w:after="0"/>
            </w:pPr>
            <w:r>
              <w:rPr>
                <w:rFonts w:ascii="Noto Sans CJK SC" w:hAnsi="Noto Sans CJK SC" w:eastAsia="Noto Sans CJK SC"/>
                <w:sz w:val="18"/>
              </w:rPr>
              <w:t>本地规则引擎 + 项目词典</w:t>
            </w:r>
          </w:p>
        </w:tc>
        <w:tc>
          <w:tcPr>
            <w:tcW w:type="dxa" w:w="3213"/>
            <w:vAlign w:val="center"/>
            <w:tcMar>
              <w:top w:w="90" w:type="dxa"/>
              <w:start w:w="110" w:type="dxa"/>
              <w:bottom w:w="90" w:type="dxa"/>
              <w:end w:w="110" w:type="dxa"/>
            </w:tcMar>
          </w:tcPr>
          <w:p>
            <w:pPr>
              <w:spacing w:after="0"/>
            </w:pPr>
            <w:r>
              <w:rPr>
                <w:rFonts w:ascii="Noto Sans CJK SC" w:hAnsi="Noto Sans CJK SC" w:eastAsia="Noto Sans CJK SC"/>
                <w:sz w:val="18"/>
              </w:rPr>
              <w:t>离线可用，不依赖模型且不自动改正文</w:t>
            </w:r>
          </w:p>
        </w:tc>
      </w:tr>
    </w:tbl>
    <w:p>
      <w:pPr>
        <w:pStyle w:val="Heading2"/>
        <w:keepNext/>
      </w:pPr>
      <w:r>
        <w:t>4.3 仓库结构</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worldforge/</w:t>
              <w:br/>
            </w:r>
            <w:r>
              <w:rPr>
                <w:rFonts w:ascii="Noto Sans CJK SC" w:hAnsi="Noto Sans CJK SC" w:eastAsia="Noto Sans CJK SC"/>
                <w:color w:val="243447"/>
                <w:sz w:val="18"/>
              </w:rPr>
              <w:t>├── apps/desktop/</w:t>
              <w:br/>
            </w:r>
            <w:r>
              <w:rPr>
                <w:rFonts w:ascii="Noto Sans CJK SC" w:hAnsi="Noto Sans CJK SC" w:eastAsia="Noto Sans CJK SC"/>
                <w:color w:val="243447"/>
                <w:sz w:val="18"/>
              </w:rPr>
              <w:t>│   ├── main/</w:t>
              <w:br/>
            </w:r>
            <w:r>
              <w:rPr>
                <w:rFonts w:ascii="Noto Sans CJK SC" w:hAnsi="Noto Sans CJK SC" w:eastAsia="Noto Sans CJK SC"/>
                <w:color w:val="243447"/>
                <w:sz w:val="18"/>
              </w:rPr>
              <w:t>│   ├── preload/</w:t>
              <w:br/>
            </w:r>
            <w:r>
              <w:rPr>
                <w:rFonts w:ascii="Noto Sans CJK SC" w:hAnsi="Noto Sans CJK SC" w:eastAsia="Noto Sans CJK SC"/>
                <w:color w:val="243447"/>
                <w:sz w:val="18"/>
              </w:rPr>
              <w:t>│   └── renderer/</w:t>
              <w:br/>
            </w:r>
            <w:r>
              <w:rPr>
                <w:rFonts w:ascii="Noto Sans CJK SC" w:hAnsi="Noto Sans CJK SC" w:eastAsia="Noto Sans CJK SC"/>
                <w:color w:val="243447"/>
                <w:sz w:val="18"/>
              </w:rPr>
              <w:t>├── packages/</w:t>
              <w:br/>
            </w:r>
            <w:r>
              <w:rPr>
                <w:rFonts w:ascii="Noto Sans CJK SC" w:hAnsi="Noto Sans CJK SC" w:eastAsia="Noto Sans CJK SC"/>
                <w:color w:val="243447"/>
                <w:sz w:val="18"/>
              </w:rPr>
              <w:t>│   ├── contracts/       # Zod Schema、IPC、错误码</w:t>
              <w:br/>
            </w:r>
            <w:r>
              <w:rPr>
                <w:rFonts w:ascii="Noto Sans CJK SC" w:hAnsi="Noto Sans CJK SC" w:eastAsia="Noto Sans CJK SC"/>
                <w:color w:val="243447"/>
                <w:sz w:val="18"/>
              </w:rPr>
              <w:t>│   ├── domain/          # 领域实体与不变量</w:t>
              <w:br/>
            </w:r>
            <w:r>
              <w:rPr>
                <w:rFonts w:ascii="Noto Sans CJK SC" w:hAnsi="Noto Sans CJK SC" w:eastAsia="Noto Sans CJK SC"/>
                <w:color w:val="243447"/>
                <w:sz w:val="18"/>
              </w:rPr>
              <w:t>│   ├── core-service/    # SQLite、AI调用、备份、检索</w:t>
              <w:br/>
            </w:r>
            <w:r>
              <w:rPr>
                <w:rFonts w:ascii="Noto Sans CJK SC" w:hAnsi="Noto Sans CJK SC" w:eastAsia="Noto Sans CJK SC"/>
                <w:color w:val="243447"/>
                <w:sz w:val="18"/>
              </w:rPr>
              <w:t>│   ├── editor-core/     # Tiptap扩展与Block Patch</w:t>
              <w:br/>
            </w:r>
            <w:r>
              <w:rPr>
                <w:rFonts w:ascii="Noto Sans CJK SC" w:hAnsi="Noto Sans CJK SC" w:eastAsia="Noto Sans CJK SC"/>
                <w:color w:val="243447"/>
                <w:sz w:val="18"/>
              </w:rPr>
              <w:t>│   ├── prompts/         # Prompt模板与结构化输出Schema</w:t>
              <w:br/>
            </w:r>
            <w:r>
              <w:rPr>
                <w:rFonts w:ascii="Noto Sans CJK SC" w:hAnsi="Noto Sans CJK SC" w:eastAsia="Noto Sans CJK SC"/>
                <w:color w:val="243447"/>
                <w:sz w:val="18"/>
              </w:rPr>
              <w:t>│   └── testkit/         # Fixture、Provider Stub、故障注入</w:t>
              <w:br/>
            </w:r>
            <w:r>
              <w:rPr>
                <w:rFonts w:ascii="Noto Sans CJK SC" w:hAnsi="Noto Sans CJK SC" w:eastAsia="Noto Sans CJK SC"/>
                <w:color w:val="243447"/>
                <w:sz w:val="18"/>
              </w:rPr>
              <w:t>├── migrations/</w:t>
              <w:br/>
            </w:r>
            <w:r>
              <w:rPr>
                <w:rFonts w:ascii="Noto Sans CJK SC" w:hAnsi="Noto Sans CJK SC" w:eastAsia="Noto Sans CJK SC"/>
                <w:color w:val="243447"/>
                <w:sz w:val="18"/>
              </w:rPr>
              <w:t>├── docs/</w:t>
              <w:br/>
            </w:r>
            <w:r>
              <w:rPr>
                <w:rFonts w:ascii="Noto Sans CJK SC" w:hAnsi="Noto Sans CJK SC" w:eastAsia="Noto Sans CJK SC"/>
                <w:color w:val="243447"/>
                <w:sz w:val="18"/>
              </w:rPr>
              <w:t>└── tests/</w:t>
              <w:br/>
            </w:r>
          </w:p>
        </w:tc>
        <w:trPr>
          <w:tblHeader/>
          <w:cantSplit/>
        </w:trPr>
      </w:tr>
    </w:tbl>
    <w:p>
      <w:pPr>
        <w:pStyle w:val="Heading2"/>
        <w:keepNext/>
      </w:pPr>
      <w:r>
        <w:t>4.4 不预建的基础设施</w:t>
      </w:r>
    </w:p>
    <w:p>
      <w:pPr>
        <w:pStyle w:val="ListBullet"/>
        <w:spacing w:after="40"/>
        <w:ind w:left="283" w:hanging="142"/>
      </w:pPr>
      <w:r>
        <w:rPr>
          <w:rFonts w:ascii="Noto Sans CJK SC" w:hAnsi="Noto Sans CJK SC" w:eastAsia="Noto Sans CJK SC"/>
          <w:sz w:val="21"/>
        </w:rPr>
        <w:t>不内置Local Runtime Manager。设置页只提供API地址、模型名、密钥和连接测试。</w:t>
      </w:r>
    </w:p>
    <w:p>
      <w:pPr>
        <w:pStyle w:val="ListBullet"/>
        <w:spacing w:after="40"/>
        <w:ind w:left="283" w:hanging="142"/>
      </w:pPr>
      <w:r>
        <w:rPr>
          <w:rFonts w:ascii="Noto Sans CJK SC" w:hAnsi="Noto Sans CJK SC" w:eastAsia="Noto Sans CJK SC"/>
          <w:sz w:val="21"/>
        </w:rPr>
        <w:t>不定义VectorSearchAdapter。v1只实现结构化关联和FTS5。</w:t>
      </w:r>
    </w:p>
    <w:p>
      <w:pPr>
        <w:pStyle w:val="ListBullet"/>
        <w:spacing w:after="40"/>
        <w:ind w:left="283" w:hanging="142"/>
      </w:pPr>
      <w:r>
        <w:rPr>
          <w:rFonts w:ascii="Noto Sans CJK SC" w:hAnsi="Noto Sans CJK SC" w:eastAsia="Noto Sans CJK SC"/>
          <w:sz w:val="21"/>
        </w:rPr>
        <w:t>不拆分独立AI Orchestrator进程。出现明确性能或隔离问题后再拆。</w:t>
      </w:r>
    </w:p>
    <w:p>
      <w:pPr>
        <w:pStyle w:val="ListBullet"/>
        <w:spacing w:after="40"/>
        <w:ind w:left="283" w:hanging="142"/>
      </w:pPr>
      <w:r>
        <w:rPr>
          <w:rFonts w:ascii="Noto Sans CJK SC" w:hAnsi="Noto Sans CJK SC" w:eastAsia="Noto Sans CJK SC"/>
          <w:sz w:val="21"/>
        </w:rPr>
        <w:t>不引入完整OpenTelemetry。只保存必要的本地运行日志和调用统计。</w:t>
      </w:r>
    </w:p>
    <w:p>
      <w:pPr>
        <w:pStyle w:val="Heading1"/>
        <w:keepNext/>
      </w:pPr>
      <w:r>
        <w:t>5. 本地工作空间与数据权威</w:t>
      </w:r>
    </w:p>
    <w:p>
      <w:pPr>
        <w:pStyle w:val="Heading2"/>
        <w:keepNext/>
      </w:pPr>
      <w:r>
        <w:t>5.1 目录结构</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WorldForgeData/</w:t>
              <w:br/>
            </w:r>
            <w:r>
              <w:rPr>
                <w:rFonts w:ascii="Noto Sans CJK SC" w:hAnsi="Noto Sans CJK SC" w:eastAsia="Noto Sans CJK SC"/>
                <w:color w:val="243447"/>
                <w:sz w:val="18"/>
              </w:rPr>
              <w:t>├── app.sqlite                 # 最近项目、全局设置、Provider元数据</w:t>
              <w:br/>
            </w:r>
            <w:r>
              <w:rPr>
                <w:rFonts w:ascii="Noto Sans CJK SC" w:hAnsi="Noto Sans CJK SC" w:eastAsia="Noto Sans CJK SC"/>
                <w:color w:val="243447"/>
                <w:sz w:val="18"/>
              </w:rPr>
              <w:t>└── workspaces/</w:t>
              <w:br/>
            </w:r>
            <w:r>
              <w:rPr>
                <w:rFonts w:ascii="Noto Sans CJK SC" w:hAnsi="Noto Sans CJK SC" w:eastAsia="Noto Sans CJK SC"/>
                <w:color w:val="243447"/>
                <w:sz w:val="18"/>
              </w:rPr>
              <w:t xml:space="preserve">    └── &lt;project&gt;.worldforge/</w:t>
              <w:br/>
            </w:r>
            <w:r>
              <w:rPr>
                <w:rFonts w:ascii="Noto Sans CJK SC" w:hAnsi="Noto Sans CJK SC" w:eastAsia="Noto Sans CJK SC"/>
                <w:color w:val="243447"/>
                <w:sz w:val="18"/>
              </w:rPr>
              <w:t xml:space="preserve">        ├── manifest.json</w:t>
              <w:br/>
            </w:r>
            <w:r>
              <w:rPr>
                <w:rFonts w:ascii="Noto Sans CJK SC" w:hAnsi="Noto Sans CJK SC" w:eastAsia="Noto Sans CJK SC"/>
                <w:color w:val="243447"/>
                <w:sz w:val="18"/>
              </w:rPr>
              <w:t xml:space="preserve">        ├── project.sqlite     # 项目唯一权威数据源</w:t>
              <w:br/>
            </w:r>
            <w:r>
              <w:rPr>
                <w:rFonts w:ascii="Noto Sans CJK SC" w:hAnsi="Noto Sans CJK SC" w:eastAsia="Noto Sans CJK SC"/>
                <w:color w:val="243447"/>
                <w:sz w:val="18"/>
              </w:rPr>
              <w:t xml:space="preserve">        ├── attachments/</w:t>
              <w:br/>
            </w:r>
            <w:r>
              <w:rPr>
                <w:rFonts w:ascii="Noto Sans CJK SC" w:hAnsi="Noto Sans CJK SC" w:eastAsia="Noto Sans CJK SC"/>
                <w:color w:val="243447"/>
                <w:sz w:val="18"/>
              </w:rPr>
              <w:t xml:space="preserve">        ├── exports/</w:t>
              <w:br/>
            </w:r>
            <w:r>
              <w:rPr>
                <w:rFonts w:ascii="Noto Sans CJK SC" w:hAnsi="Noto Sans CJK SC" w:eastAsia="Noto Sans CJK SC"/>
                <w:color w:val="243447"/>
                <w:sz w:val="18"/>
              </w:rPr>
              <w:t xml:space="preserve">        ├── backups/</w:t>
              <w:br/>
            </w:r>
            <w:r>
              <w:rPr>
                <w:rFonts w:ascii="Noto Sans CJK SC" w:hAnsi="Noto Sans CJK SC" w:eastAsia="Noto Sans CJK SC"/>
                <w:color w:val="243447"/>
                <w:sz w:val="18"/>
              </w:rPr>
              <w:t xml:space="preserve">        └── logs/</w:t>
              <w:br/>
            </w:r>
          </w:p>
        </w:tc>
        <w:trPr>
          <w:tblHeader/>
          <w:cantSplit/>
        </w:trPr>
      </w:tr>
    </w:tbl>
    <w:p>
      <w:pPr>
        <w:pStyle w:val="Heading2"/>
        <w:keepNext/>
      </w:pPr>
      <w:r>
        <w:t>5.2 数据权威规则</w:t>
      </w:r>
    </w:p>
    <w:p>
      <w:pPr>
        <w:pStyle w:val="ListBullet"/>
        <w:spacing w:after="40"/>
        <w:ind w:left="283" w:hanging="142"/>
      </w:pPr>
      <w:r>
        <w:rPr>
          <w:rFonts w:ascii="Noto Sans CJK SC" w:hAnsi="Noto Sans CJK SC" w:eastAsia="Noto Sans CJK SC"/>
          <w:sz w:val="21"/>
        </w:rPr>
        <w:t>正文、人物、设定、时间线、伏笔、候选、版本和状态全部写入project.sqlite。</w:t>
      </w:r>
    </w:p>
    <w:p>
      <w:pPr>
        <w:pStyle w:val="ListBullet"/>
        <w:spacing w:after="40"/>
        <w:ind w:left="283" w:hanging="142"/>
      </w:pPr>
      <w:r>
        <w:rPr>
          <w:rFonts w:ascii="Noto Sans CJK SC" w:hAnsi="Noto Sans CJK SC" w:eastAsia="Noto Sans CJK SC"/>
          <w:sz w:val="21"/>
        </w:rPr>
        <w:t>编辑器文档、缓存和导出文件不是权威数据源，可以重新生成。</w:t>
      </w:r>
    </w:p>
    <w:p>
      <w:pPr>
        <w:pStyle w:val="ListBullet"/>
        <w:spacing w:after="40"/>
        <w:ind w:left="283" w:hanging="142"/>
      </w:pPr>
      <w:r>
        <w:rPr>
          <w:rFonts w:ascii="Noto Sans CJK SC" w:hAnsi="Noto Sans CJK SC" w:eastAsia="Noto Sans CJK SC"/>
          <w:sz w:val="21"/>
        </w:rPr>
        <w:t>app.sqlite只保存应用级配置和项目路径，不保存作品正文。</w:t>
      </w:r>
    </w:p>
    <w:p>
      <w:pPr>
        <w:pStyle w:val="ListBullet"/>
        <w:spacing w:after="40"/>
        <w:ind w:left="283" w:hanging="142"/>
      </w:pPr>
      <w:r>
        <w:rPr>
          <w:rFonts w:ascii="Noto Sans CJK SC" w:hAnsi="Noto Sans CJK SC" w:eastAsia="Noto Sans CJK SC"/>
          <w:sz w:val="21"/>
        </w:rPr>
        <w:t>密钥只保存在操作系统Credential Store，数据库仅保存credentialRef。</w:t>
      </w:r>
    </w:p>
    <w:p>
      <w:pPr>
        <w:pStyle w:val="Heading2"/>
        <w:keepNext/>
      </w:pPr>
      <w:r>
        <w:t>5.3 事务边界</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操作</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事务要求</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保存Draft Patch</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校验Revision与锁定块后一次提交</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接受Candidate</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冲突检查、写入Draft、来源记录、Revision递增一次提交</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创建Version</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复制Draft快照、创建父关系、更新章节指针一次提交</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确认状态提案</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更新EntityState、生成尾快照一次提交</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迁移</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每个Migration独立事务，失败保持旧Schema可用</w:t>
            </w:r>
          </w:p>
        </w:tc>
      </w:tr>
    </w:tbl>
    <w:p>
      <w:pPr>
        <w:pStyle w:val="Heading1"/>
        <w:keepNext/>
      </w:pPr>
      <w:r>
        <w:t>6. 正文编辑、Draft、Candidate与Version</w:t>
      </w:r>
    </w:p>
    <w:p>
      <w:pPr>
        <w:jc w:val="center"/>
      </w:pPr>
      <w:r>
        <w:drawing>
          <wp:inline xmlns:a="http://schemas.openxmlformats.org/drawingml/2006/main" xmlns:pic="http://schemas.openxmlformats.org/drawingml/2006/picture">
            <wp:extent cx="6120000" cy="3553548"/>
            <wp:docPr id="4" name="Picture 4" descr="Image: image3.png"/>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6120000" cy="3553548"/>
                    </a:xfrm>
                    <a:prstGeom prst="rect"/>
                  </pic:spPr>
                </pic:pic>
              </a:graphicData>
            </a:graphic>
          </wp:inline>
        </w:drawing>
      </w:r>
    </w:p>
    <w:p>
      <w:pPr>
        <w:pStyle w:val="Heading2"/>
        <w:keepNext/>
      </w:pPr>
      <w:r>
        <w:t>6.1 块级正文模型</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interface DraftBlock {</w:t>
              <w:br/>
            </w:r>
            <w:r>
              <w:rPr>
                <w:rFonts w:ascii="Noto Sans CJK SC" w:hAnsi="Noto Sans CJK SC" w:eastAsia="Noto Sans CJK SC"/>
                <w:color w:val="243447"/>
                <w:sz w:val="18"/>
              </w:rPr>
              <w:t xml:space="preserve">  id: string;                 // 当前Draft记录ID</w:t>
              <w:br/>
            </w:r>
            <w:r>
              <w:rPr>
                <w:rFonts w:ascii="Noto Sans CJK SC" w:hAnsi="Noto Sans CJK SC" w:eastAsia="Noto Sans CJK SC"/>
                <w:color w:val="243447"/>
                <w:sz w:val="18"/>
              </w:rPr>
              <w:t xml:space="preserve">  draftId: string;</w:t>
              <w:br/>
            </w:r>
            <w:r>
              <w:rPr>
                <w:rFonts w:ascii="Noto Sans CJK SC" w:hAnsi="Noto Sans CJK SC" w:eastAsia="Noto Sans CJK SC"/>
                <w:color w:val="243447"/>
                <w:sz w:val="18"/>
              </w:rPr>
              <w:t xml:space="preserve">  logicalBlockId: string;     // 跨候选和版本追踪的逻辑身份</w:t>
              <w:br/>
            </w:r>
            <w:r>
              <w:rPr>
                <w:rFonts w:ascii="Noto Sans CJK SC" w:hAnsi="Noto Sans CJK SC" w:eastAsia="Noto Sans CJK SC"/>
                <w:color w:val="243447"/>
                <w:sz w:val="18"/>
              </w:rPr>
              <w:t xml:space="preserve">  orderKey: string;</w:t>
              <w:br/>
            </w:r>
            <w:r>
              <w:rPr>
                <w:rFonts w:ascii="Noto Sans CJK SC" w:hAnsi="Noto Sans CJK SC" w:eastAsia="Noto Sans CJK SC"/>
                <w:color w:val="243447"/>
                <w:sz w:val="18"/>
              </w:rPr>
              <w:t xml:space="preserve">  type: 'paragraph' | 'dialogue' | 'heading' | 'separator';</w:t>
              <w:br/>
            </w:r>
            <w:r>
              <w:rPr>
                <w:rFonts w:ascii="Noto Sans CJK SC" w:hAnsi="Noto Sans CJK SC" w:eastAsia="Noto Sans CJK SC"/>
                <w:color w:val="243447"/>
                <w:sz w:val="18"/>
              </w:rPr>
              <w:t xml:space="preserve">  text: string;</w:t>
              <w:br/>
            </w:r>
            <w:r>
              <w:rPr>
                <w:rFonts w:ascii="Noto Sans CJK SC" w:hAnsi="Noto Sans CJK SC" w:eastAsia="Noto Sans CJK SC"/>
                <w:color w:val="243447"/>
                <w:sz w:val="18"/>
              </w:rPr>
              <w:t xml:space="preserve">  source: 'manual' | 'ai' | 'mixed' | 'imported';</w:t>
              <w:br/>
            </w:r>
            <w:r>
              <w:rPr>
                <w:rFonts w:ascii="Noto Sans CJK SC" w:hAnsi="Noto Sans CJK SC" w:eastAsia="Noto Sans CJK SC"/>
                <w:color w:val="243447"/>
                <w:sz w:val="18"/>
              </w:rPr>
              <w:t xml:space="preserve">  locked: boolean;</w:t>
              <w:br/>
            </w:r>
            <w:r>
              <w:rPr>
                <w:rFonts w:ascii="Noto Sans CJK SC" w:hAnsi="Noto Sans CJK SC" w:eastAsia="Noto Sans CJK SC"/>
                <w:color w:val="243447"/>
                <w:sz w:val="18"/>
              </w:rPr>
              <w:t xml:space="preserve">  contentHash: string;</w:t>
              <w:br/>
            </w:r>
            <w:r>
              <w:rPr>
                <w:rFonts w:ascii="Noto Sans CJK SC" w:hAnsi="Noto Sans CJK SC" w:eastAsia="Noto Sans CJK SC"/>
                <w:color w:val="243447"/>
                <w:sz w:val="18"/>
              </w:rPr>
              <w:t xml:space="preserve">  revision: number;</w:t>
              <w:br/>
            </w:r>
            <w:r>
              <w:rPr>
                <w:rFonts w:ascii="Noto Sans CJK SC" w:hAnsi="Noto Sans CJK SC" w:eastAsia="Noto Sans CJK SC"/>
                <w:color w:val="243447"/>
                <w:sz w:val="18"/>
              </w:rPr>
              <w:t>}</w:t>
              <w:br/>
            </w:r>
          </w:p>
        </w:tc>
        <w:trPr>
          <w:tblHeader/>
          <w:cantSplit/>
        </w:trPr>
      </w:tr>
    </w:tbl>
    <w:p>
      <w:pPr>
        <w:pStyle w:val="Heading2"/>
        <w:keepNext/>
      </w:pPr>
      <w:r>
        <w:t>6.2 Draft</w:t>
      </w:r>
    </w:p>
    <w:p>
      <w:pPr>
        <w:pStyle w:val="ListBullet"/>
        <w:spacing w:after="40"/>
        <w:ind w:left="283" w:hanging="142"/>
      </w:pPr>
      <w:r>
        <w:rPr>
          <w:rFonts w:ascii="Noto Sans CJK SC" w:hAnsi="Noto Sans CJK SC" w:eastAsia="Noto Sans CJK SC"/>
          <w:sz w:val="21"/>
        </w:rPr>
        <w:t>每章只有一个活动Draft，作为唯一可编辑正文。</w:t>
      </w:r>
    </w:p>
    <w:p>
      <w:pPr>
        <w:pStyle w:val="ListBullet"/>
        <w:spacing w:after="40"/>
        <w:ind w:left="283" w:hanging="142"/>
      </w:pPr>
      <w:r>
        <w:rPr>
          <w:rFonts w:ascii="Noto Sans CJK SC" w:hAnsi="Noto Sans CJK SC" w:eastAsia="Noto Sans CJK SC"/>
          <w:sz w:val="21"/>
        </w:rPr>
        <w:t>一次事务无论修改多少块，只将Draft Revision增加1。</w:t>
      </w:r>
    </w:p>
    <w:p>
      <w:pPr>
        <w:pStyle w:val="ListBullet"/>
        <w:spacing w:after="40"/>
        <w:ind w:left="283" w:hanging="142"/>
      </w:pPr>
      <w:r>
        <w:rPr>
          <w:rFonts w:ascii="Noto Sans CJK SC" w:hAnsi="Noto Sans CJK SC" w:eastAsia="Noto Sans CJK SC"/>
          <w:sz w:val="21"/>
        </w:rPr>
        <w:t>AI运行记录baseDraftRevision；接受结果时必须与当前Revision比较。</w:t>
      </w:r>
    </w:p>
    <w:p>
      <w:pPr>
        <w:pStyle w:val="Heading2"/>
        <w:keepNext/>
      </w:pPr>
      <w:r>
        <w:t>6.3 Candidate</w:t>
      </w:r>
    </w:p>
    <w:p>
      <w:pPr>
        <w:pStyle w:val="ListBullet"/>
        <w:spacing w:after="40"/>
        <w:ind w:left="283" w:hanging="142"/>
      </w:pPr>
      <w:r>
        <w:rPr>
          <w:rFonts w:ascii="Noto Sans CJK SC" w:hAnsi="Noto Sans CJK SC" w:eastAsia="Noto Sans CJK SC"/>
          <w:sz w:val="21"/>
        </w:rPr>
        <w:t>AI输出保存为候选，不自动写入Draft。</w:t>
      </w:r>
    </w:p>
    <w:p>
      <w:pPr>
        <w:pStyle w:val="ListBullet"/>
        <w:spacing w:after="40"/>
        <w:ind w:left="283" w:hanging="142"/>
      </w:pPr>
      <w:r>
        <w:rPr>
          <w:rFonts w:ascii="Noto Sans CJK SC" w:hAnsi="Noto Sans CJK SC" w:eastAsia="Noto Sans CJK SC"/>
          <w:sz w:val="21"/>
        </w:rPr>
        <w:t>候选可以是骨架、完整章节、局部重写或融合稿。</w:t>
      </w:r>
    </w:p>
    <w:p>
      <w:pPr>
        <w:pStyle w:val="ListBullet"/>
        <w:spacing w:after="40"/>
        <w:ind w:left="283" w:hanging="142"/>
      </w:pPr>
      <w:r>
        <w:rPr>
          <w:rFonts w:ascii="Noto Sans CJK SC" w:hAnsi="Noto Sans CJK SC" w:eastAsia="Noto Sans CJK SC"/>
          <w:sz w:val="21"/>
        </w:rPr>
        <w:t>作者可以接受全部、选择局部、手动融合或丢弃。</w:t>
      </w:r>
    </w:p>
    <w:p>
      <w:pPr>
        <w:pStyle w:val="ListBullet"/>
        <w:spacing w:after="40"/>
        <w:ind w:left="283" w:hanging="142"/>
      </w:pPr>
      <w:r>
        <w:rPr>
          <w:rFonts w:ascii="Noto Sans CJK SC" w:hAnsi="Noto Sans CJK SC" w:eastAsia="Noto Sans CJK SC"/>
          <w:sz w:val="21"/>
        </w:rPr>
        <w:t>流式中断的部分结果可以保存为partial，但不得直接定稿。</w:t>
      </w:r>
    </w:p>
    <w:p>
      <w:pPr>
        <w:pStyle w:val="Heading2"/>
        <w:keepNext/>
      </w:pPr>
      <w:r>
        <w:t>6.4 不可变Version</w:t>
      </w:r>
    </w:p>
    <w:p>
      <w:pPr>
        <w:pStyle w:val="ListBullet"/>
        <w:spacing w:after="40"/>
        <w:ind w:left="283" w:hanging="142"/>
      </w:pPr>
      <w:r>
        <w:rPr>
          <w:rFonts w:ascii="Noto Sans CJK SC" w:hAnsi="Noto Sans CJK SC" w:eastAsia="Noto Sans CJK SC"/>
          <w:sz w:val="21"/>
        </w:rPr>
        <w:t>Version创建后不得修改或覆盖。</w:t>
      </w:r>
    </w:p>
    <w:p>
      <w:pPr>
        <w:pStyle w:val="ListBullet"/>
        <w:spacing w:after="40"/>
        <w:ind w:left="283" w:hanging="142"/>
      </w:pPr>
      <w:r>
        <w:rPr>
          <w:rFonts w:ascii="Noto Sans CJK SC" w:hAnsi="Noto Sans CJK SC" w:eastAsia="Noto Sans CJK SC"/>
          <w:sz w:val="21"/>
        </w:rPr>
        <w:t>恢复历史版本的方式是创建新的Draft，不修改旧Version。</w:t>
      </w:r>
    </w:p>
    <w:p>
      <w:pPr>
        <w:pStyle w:val="ListBullet"/>
        <w:spacing w:after="40"/>
        <w:ind w:left="283" w:hanging="142"/>
      </w:pPr>
      <w:r>
        <w:rPr>
          <w:rFonts w:ascii="Noto Sans CJK SC" w:hAnsi="Noto Sans CJK SC" w:eastAsia="Noto Sans CJK SC"/>
          <w:sz w:val="21"/>
        </w:rPr>
        <w:t>定稿Version可以继续被引用、导出和比较。</w:t>
      </w:r>
    </w:p>
    <w:p>
      <w:pPr>
        <w:pStyle w:val="Heading2"/>
        <w:keepNext/>
      </w:pPr>
      <w:r>
        <w:t>6.5 锁定与冲突</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场景</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处理</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AI重写包含锁定块</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Core拒绝任务或自动排除锁定块</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用户在AI生成期间编辑Draft</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候选仍可保存；接受时进行Revision冲突检测</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候选块Hash与当前块不一致</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进入逐块冲突处理，不静默覆盖</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历史版本块ID不同</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使用logicalBlockId追踪逻辑身份</w:t>
            </w:r>
          </w:p>
        </w:tc>
      </w:tr>
    </w:tbl>
    <w:p>
      <w:pPr>
        <w:pStyle w:val="Heading1"/>
        <w:keepNext/>
      </w:pPr>
      <w:r>
        <w:t>7. 创作规划与长篇连续性</w:t>
      </w:r>
    </w:p>
    <w:p>
      <w:pPr>
        <w:pStyle w:val="Heading2"/>
        <w:keepNext/>
      </w:pPr>
      <w:r>
        <w:t>7.1 作品任务书</w:t>
      </w:r>
    </w:p>
    <w:p>
      <w:pPr>
        <w:spacing w:line="324" w:lineRule="auto" w:after="100"/>
        <w:ind w:firstLine="420"/>
      </w:pPr>
      <w:r>
        <w:rPr>
          <w:rFonts w:ascii="Noto Sans CJK SC" w:hAnsi="Noto Sans CJK SC" w:eastAsia="Noto Sans CJK SC"/>
          <w:sz w:val="21"/>
        </w:rPr>
        <w:t>作品任务书是全书最高层约束，但保持简洁。建议字段包括：一句话高概念、核心阅读承诺、主角目标、核心冲突、终局方向、必须兑现内容、明确禁止内容和目标篇幅。</w:t>
      </w:r>
    </w:p>
    <w:p>
      <w:pPr>
        <w:pStyle w:val="Heading2"/>
        <w:keepNext/>
      </w:pPr>
      <w:r>
        <w:t>7.2 大纲与节拍</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实体</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核心字段</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PlotNode</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层级、标题、目标、核心冲突、预期结果、状态</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Chapter</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卷、顺序、标题、Draft、Final Version、状态</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SceneBeat</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目标、冲突、结果、人物、地点、预计字数比例、是否必选</w:t>
            </w:r>
          </w:p>
        </w:tc>
      </w:tr>
    </w:tbl>
    <w:p>
      <w:pPr>
        <w:pStyle w:val="Heading2"/>
        <w:keepNext/>
      </w:pPr>
      <w:r>
        <w:t>7.3 人物与世界设定</w:t>
      </w:r>
    </w:p>
    <w:p>
      <w:pPr>
        <w:pStyle w:val="ListBullet"/>
        <w:spacing w:after="40"/>
        <w:ind w:left="283" w:hanging="142"/>
      </w:pPr>
      <w:r>
        <w:rPr>
          <w:rFonts w:ascii="Noto Sans CJK SC" w:hAnsi="Noto Sans CJK SC" w:eastAsia="Noto Sans CJK SC"/>
          <w:sz w:val="21"/>
        </w:rPr>
        <w:t>人物：目标、欲望、恐惧、行为边界、关系、声音样本。</w:t>
      </w:r>
    </w:p>
    <w:p>
      <w:pPr>
        <w:pStyle w:val="ListBullet"/>
        <w:spacing w:after="40"/>
        <w:ind w:left="283" w:hanging="142"/>
      </w:pPr>
      <w:r>
        <w:rPr>
          <w:rFonts w:ascii="Noto Sans CJK SC" w:hAnsi="Noto Sans CJK SC" w:eastAsia="Noto Sans CJK SC"/>
          <w:sz w:val="21"/>
        </w:rPr>
        <w:t>世界：规则、地点、势力、道具、能力和关键事件。</w:t>
      </w:r>
    </w:p>
    <w:p>
      <w:pPr>
        <w:pStyle w:val="ListBullet"/>
        <w:spacing w:after="40"/>
        <w:ind w:left="283" w:hanging="142"/>
      </w:pPr>
      <w:r>
        <w:rPr>
          <w:rFonts w:ascii="Noto Sans CJK SC" w:hAnsi="Noto Sans CJK SC" w:eastAsia="Noto Sans CJK SC"/>
          <w:sz w:val="21"/>
        </w:rPr>
        <w:t>静态事实与动态状态分离；AI只能对动态状态提出变更候选。</w:t>
      </w:r>
    </w:p>
    <w:p>
      <w:pPr>
        <w:pStyle w:val="Heading2"/>
        <w:keepNext/>
      </w:pPr>
      <w:r>
        <w:t>7.4 时间线</w:t>
      </w:r>
    </w:p>
    <w:p>
      <w:pPr>
        <w:spacing w:line="324" w:lineRule="auto" w:after="100"/>
        <w:ind w:firstLine="420"/>
      </w:pPr>
      <w:r>
        <w:rPr>
          <w:rFonts w:ascii="Noto Sans CJK SC" w:hAnsi="Noto Sans CJK SC" w:eastAsia="Noto Sans CJK SC"/>
          <w:sz w:val="21"/>
        </w:rPr>
        <w:t>v1实现简单时间线，不开发完整历法引擎。事件包含开始、结束、精度、人物、地点和前置事件。校验重点是顺序冲突、人物同一时间出现在不同地点、持续时间明显不合理。</w:t>
      </w:r>
    </w:p>
    <w:p>
      <w:pPr>
        <w:pStyle w:val="Heading2"/>
        <w:keepNext/>
      </w:pPr>
      <w:r>
        <w:t>7.5 知情信息</w:t>
      </w:r>
    </w:p>
    <w:p>
      <w:pPr>
        <w:spacing w:line="324" w:lineRule="auto" w:after="100"/>
        <w:ind w:firstLine="420"/>
      </w:pPr>
      <w:r>
        <w:rPr>
          <w:rFonts w:ascii="Noto Sans CJK SC" w:hAnsi="Noto Sans CJK SC" w:eastAsia="Noto Sans CJK SC"/>
          <w:sz w:val="21"/>
        </w:rPr>
        <w:t>系统记录重要信息、秘密或误解由哪些人物知道、何时得知、是否相信。该信息用于悬疑、对话潜台词和行为合理性检查，不实现复杂传播模拟。</w:t>
      </w:r>
    </w:p>
    <w:p>
      <w:pPr>
        <w:pStyle w:val="Heading2"/>
        <w:keepNext/>
      </w:pPr>
      <w:r>
        <w:t>7.6 伏笔</w:t>
      </w:r>
    </w:p>
    <w:p>
      <w:pPr>
        <w:spacing w:line="324" w:lineRule="auto" w:after="100"/>
        <w:ind w:firstLine="420"/>
      </w:pPr>
      <w:r>
        <w:rPr>
          <w:rFonts w:ascii="Noto Sans CJK SC" w:hAnsi="Noto Sans CJK SC" w:eastAsia="Noto Sans CJK SC"/>
        </w:rPr>
        <w:t>伏笔保留埋设、强化、部分揭示、揭示和取消五种主要状态，并记录关联章节、建议回收窗口和依赖。v1不实现复杂图算法，只用关系表保存必要依赖。 超长篇项目中的分层记忆、时序状态和检查点规则见第21章。</w:t>
      </w:r>
    </w:p>
    <w:p>
      <w:pPr>
        <w:pStyle w:val="Heading1"/>
        <w:keepNext/>
      </w:pPr>
      <w:r>
        <w:t>8. AI接入、约束包与生成工作流</w:t>
      </w:r>
    </w:p>
    <w:p>
      <w:pPr>
        <w:pStyle w:val="Heading2"/>
        <w:keepNext/>
      </w:pPr>
      <w:r>
        <w:t>8.1 Provider配置</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interface ProviderConfig {</w:t>
              <w:br/>
            </w:r>
            <w:r>
              <w:rPr>
                <w:rFonts w:ascii="Noto Sans CJK SC" w:hAnsi="Noto Sans CJK SC" w:eastAsia="Noto Sans CJK SC"/>
                <w:color w:val="243447"/>
                <w:sz w:val="18"/>
              </w:rPr>
              <w:t xml:space="preserve">  id: string;</w:t>
              <w:br/>
            </w:r>
            <w:r>
              <w:rPr>
                <w:rFonts w:ascii="Noto Sans CJK SC" w:hAnsi="Noto Sans CJK SC" w:eastAsia="Noto Sans CJK SC"/>
                <w:color w:val="243447"/>
                <w:sz w:val="18"/>
              </w:rPr>
              <w:t xml:space="preserve">  name: string;</w:t>
              <w:br/>
            </w:r>
            <w:r>
              <w:rPr>
                <w:rFonts w:ascii="Noto Sans CJK SC" w:hAnsi="Noto Sans CJK SC" w:eastAsia="Noto Sans CJK SC"/>
                <w:color w:val="243447"/>
                <w:sz w:val="18"/>
              </w:rPr>
              <w:t xml:space="preserve">  protocol: 'openai_compatible' | 'anthropic' | 'custom';</w:t>
              <w:br/>
            </w:r>
            <w:r>
              <w:rPr>
                <w:rFonts w:ascii="Noto Sans CJK SC" w:hAnsi="Noto Sans CJK SC" w:eastAsia="Noto Sans CJK SC"/>
                <w:color w:val="243447"/>
                <w:sz w:val="18"/>
              </w:rPr>
              <w:t xml:space="preserve">  baseUrl: string;</w:t>
              <w:br/>
            </w:r>
            <w:r>
              <w:rPr>
                <w:rFonts w:ascii="Noto Sans CJK SC" w:hAnsi="Noto Sans CJK SC" w:eastAsia="Noto Sans CJK SC"/>
                <w:color w:val="243447"/>
                <w:sz w:val="18"/>
              </w:rPr>
              <w:t xml:space="preserve">  model: string;</w:t>
              <w:br/>
            </w:r>
            <w:r>
              <w:rPr>
                <w:rFonts w:ascii="Noto Sans CJK SC" w:hAnsi="Noto Sans CJK SC" w:eastAsia="Noto Sans CJK SC"/>
                <w:color w:val="243447"/>
                <w:sz w:val="18"/>
              </w:rPr>
              <w:t xml:space="preserve">  credentialRef?: string;</w:t>
              <w:br/>
            </w:r>
            <w:r>
              <w:rPr>
                <w:rFonts w:ascii="Noto Sans CJK SC" w:hAnsi="Noto Sans CJK SC" w:eastAsia="Noto Sans CJK SC"/>
                <w:color w:val="243447"/>
                <w:sz w:val="18"/>
              </w:rPr>
              <w:t xml:space="preserve">  timeoutMs: number;</w:t>
              <w:br/>
            </w:r>
            <w:r>
              <w:rPr>
                <w:rFonts w:ascii="Noto Sans CJK SC" w:hAnsi="Noto Sans CJK SC" w:eastAsia="Noto Sans CJK SC"/>
                <w:color w:val="243447"/>
                <w:sz w:val="18"/>
              </w:rPr>
              <w:t xml:space="preserve">  advancedOptions?: Record&lt;string, unknown&gt;;</w:t>
              <w:br/>
            </w:r>
            <w:r>
              <w:rPr>
                <w:rFonts w:ascii="Noto Sans CJK SC" w:hAnsi="Noto Sans CJK SC" w:eastAsia="Noto Sans CJK SC"/>
                <w:color w:val="243447"/>
                <w:sz w:val="18"/>
              </w:rPr>
              <w:t>}</w:t>
              <w:br/>
            </w:r>
          </w:p>
        </w:tc>
        <w:trPr>
          <w:tblHeader/>
          <w:cantSplit/>
        </w:trPr>
      </w:tr>
    </w:tbl>
    <w:p>
      <w:pPr>
        <w:spacing w:line="324" w:lineRule="auto" w:after="100"/>
        <w:ind w:firstLine="420"/>
      </w:pPr>
      <w:r>
        <w:rPr>
          <w:rFonts w:ascii="Noto Sans CJK SC" w:hAnsi="Noto Sans CJK SC" w:eastAsia="Noto Sans CJK SC"/>
          <w:sz w:val="21"/>
        </w:rPr>
        <w:t>本地模型服务与外部API使用同一配置方式。WorldForge只连接已经运行的端点，不负责模型下载、启动、容器和显存管理。</w:t>
      </w:r>
    </w:p>
    <w:p>
      <w:pPr>
        <w:pStyle w:val="Heading2"/>
        <w:keepNext/>
      </w:pPr>
      <w:r>
        <w:t>8.2 最小能力信息</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interface ModelCapabilities {</w:t>
              <w:br/>
            </w:r>
            <w:r>
              <w:rPr>
                <w:rFonts w:ascii="Noto Sans CJK SC" w:hAnsi="Noto Sans CJK SC" w:eastAsia="Noto Sans CJK SC"/>
                <w:color w:val="243447"/>
                <w:sz w:val="18"/>
              </w:rPr>
              <w:t xml:space="preserve">  streaming: boolean;</w:t>
              <w:br/>
            </w:r>
            <w:r>
              <w:rPr>
                <w:rFonts w:ascii="Noto Sans CJK SC" w:hAnsi="Noto Sans CJK SC" w:eastAsia="Noto Sans CJK SC"/>
                <w:color w:val="243447"/>
                <w:sz w:val="18"/>
              </w:rPr>
              <w:t xml:space="preserve">  structuredOutput: boolean;</w:t>
              <w:br/>
            </w:r>
            <w:r>
              <w:rPr>
                <w:rFonts w:ascii="Noto Sans CJK SC" w:hAnsi="Noto Sans CJK SC" w:eastAsia="Noto Sans CJK SC"/>
                <w:color w:val="243447"/>
                <w:sz w:val="18"/>
              </w:rPr>
              <w:t xml:space="preserve">  maxContextTokens: number;</w:t>
              <w:br/>
            </w:r>
            <w:r>
              <w:rPr>
                <w:rFonts w:ascii="Noto Sans CJK SC" w:hAnsi="Noto Sans CJK SC" w:eastAsia="Noto Sans CJK SC"/>
                <w:color w:val="243447"/>
                <w:sz w:val="18"/>
              </w:rPr>
              <w:t xml:space="preserve">  maxOutputTokens: number;</w:t>
              <w:br/>
            </w:r>
            <w:r>
              <w:rPr>
                <w:rFonts w:ascii="Noto Sans CJK SC" w:hAnsi="Noto Sans CJK SC" w:eastAsia="Noto Sans CJK SC"/>
                <w:color w:val="243447"/>
                <w:sz w:val="18"/>
              </w:rPr>
              <w:t>}</w:t>
              <w:br/>
            </w:r>
          </w:p>
        </w:tc>
        <w:trPr>
          <w:tblHeader/>
          <w:cantSplit/>
        </w:trPr>
      </w:tr>
    </w:tbl>
    <w:p>
      <w:pPr>
        <w:pStyle w:val="Heading2"/>
        <w:keepNext/>
      </w:pPr>
      <w:r>
        <w:t>8.3 GenerationRun</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interface GenerationRun {</w:t>
              <w:br/>
            </w:r>
            <w:r>
              <w:rPr>
                <w:rFonts w:ascii="Noto Sans CJK SC" w:hAnsi="Noto Sans CJK SC" w:eastAsia="Noto Sans CJK SC"/>
                <w:color w:val="243447"/>
                <w:sz w:val="18"/>
              </w:rPr>
              <w:t xml:space="preserve">  id: string;</w:t>
              <w:br/>
            </w:r>
            <w:r>
              <w:rPr>
                <w:rFonts w:ascii="Noto Sans CJK SC" w:hAnsi="Noto Sans CJK SC" w:eastAsia="Noto Sans CJK SC"/>
                <w:color w:val="243447"/>
                <w:sz w:val="18"/>
              </w:rPr>
              <w:t xml:space="preserve">  requestId: string;</w:t>
              <w:br/>
            </w:r>
            <w:r>
              <w:rPr>
                <w:rFonts w:ascii="Noto Sans CJK SC" w:hAnsi="Noto Sans CJK SC" w:eastAsia="Noto Sans CJK SC"/>
                <w:color w:val="243447"/>
                <w:sz w:val="18"/>
              </w:rPr>
              <w:t xml:space="preserve">  chapterId: string;</w:t>
              <w:br/>
            </w:r>
            <w:r>
              <w:rPr>
                <w:rFonts w:ascii="Noto Sans CJK SC" w:hAnsi="Noto Sans CJK SC" w:eastAsia="Noto Sans CJK SC"/>
                <w:color w:val="243447"/>
                <w:sz w:val="18"/>
              </w:rPr>
              <w:t xml:space="preserve">  runType: 'skeleton' | 'chapter' | 'rewrite' | 'merge' | 'validate' | 'state_extract';</w:t>
              <w:br/>
            </w:r>
            <w:r>
              <w:rPr>
                <w:rFonts w:ascii="Noto Sans CJK SC" w:hAnsi="Noto Sans CJK SC" w:eastAsia="Noto Sans CJK SC"/>
                <w:color w:val="243447"/>
                <w:sz w:val="18"/>
              </w:rPr>
              <w:t xml:space="preserve">  baseDraftRevision: number;</w:t>
              <w:br/>
            </w:r>
            <w:r>
              <w:rPr>
                <w:rFonts w:ascii="Noto Sans CJK SC" w:hAnsi="Noto Sans CJK SC" w:eastAsia="Noto Sans CJK SC"/>
                <w:color w:val="243447"/>
                <w:sz w:val="18"/>
              </w:rPr>
              <w:t xml:space="preserve">  providerId: string;</w:t>
              <w:br/>
            </w:r>
            <w:r>
              <w:rPr>
                <w:rFonts w:ascii="Noto Sans CJK SC" w:hAnsi="Noto Sans CJK SC" w:eastAsia="Noto Sans CJK SC"/>
                <w:color w:val="243447"/>
                <w:sz w:val="18"/>
              </w:rPr>
              <w:t xml:space="preserve">  model: string;</w:t>
              <w:br/>
            </w:r>
            <w:r>
              <w:rPr>
                <w:rFonts w:ascii="Noto Sans CJK SC" w:hAnsi="Noto Sans CJK SC" w:eastAsia="Noto Sans CJK SC"/>
                <w:color w:val="243447"/>
                <w:sz w:val="18"/>
              </w:rPr>
              <w:t xml:space="preserve">  status: 'queued' | 'running' | 'succeeded' | 'failed' | 'cancelled';</w:t>
              <w:br/>
            </w:r>
            <w:r>
              <w:rPr>
                <w:rFonts w:ascii="Noto Sans CJK SC" w:hAnsi="Noto Sans CJK SC" w:eastAsia="Noto Sans CJK SC"/>
                <w:color w:val="243447"/>
                <w:sz w:val="18"/>
              </w:rPr>
              <w:t xml:space="preserve">  retryCount: number;</w:t>
              <w:br/>
            </w:r>
            <w:r>
              <w:rPr>
                <w:rFonts w:ascii="Noto Sans CJK SC" w:hAnsi="Noto Sans CJK SC" w:eastAsia="Noto Sans CJK SC"/>
                <w:color w:val="243447"/>
                <w:sz w:val="18"/>
              </w:rPr>
              <w:t xml:space="preserve">  errorCode?: string;</w:t>
              <w:br/>
            </w:r>
            <w:r>
              <w:rPr>
                <w:rFonts w:ascii="Noto Sans CJK SC" w:hAnsi="Noto Sans CJK SC" w:eastAsia="Noto Sans CJK SC"/>
                <w:color w:val="243447"/>
                <w:sz w:val="18"/>
              </w:rPr>
              <w:t>}</w:t>
              <w:br/>
            </w:r>
          </w:p>
        </w:tc>
        <w:trPr>
          <w:tblHeader/>
          <w:cantSplit/>
        </w:trPr>
      </w:tr>
    </w:tbl>
    <w:p>
      <w:pPr>
        <w:pStyle w:val="ListBullet"/>
        <w:spacing w:after="40"/>
        <w:ind w:left="283" w:hanging="142"/>
      </w:pPr>
      <w:r>
        <w:rPr>
          <w:rFonts w:ascii="Noto Sans CJK SC" w:hAnsi="Noto Sans CJK SC" w:eastAsia="Noto Sans CJK SC"/>
          <w:sz w:val="21"/>
        </w:rPr>
        <w:t>每次用户点击生成创建一个新的requestId。</w:t>
      </w:r>
    </w:p>
    <w:p>
      <w:pPr>
        <w:pStyle w:val="ListBullet"/>
        <w:spacing w:after="40"/>
        <w:ind w:left="283" w:hanging="142"/>
      </w:pPr>
      <w:r>
        <w:rPr>
          <w:rFonts w:ascii="Noto Sans CJK SC" w:hAnsi="Noto Sans CJK SC" w:eastAsia="Noto Sans CJK SC"/>
          <w:sz w:val="21"/>
        </w:rPr>
        <w:t>同一requestId重复提交不重复执行，用于防止按钮连点。</w:t>
      </w:r>
    </w:p>
    <w:p>
      <w:pPr>
        <w:pStyle w:val="ListBullet"/>
        <w:spacing w:after="40"/>
        <w:ind w:left="283" w:hanging="142"/>
      </w:pPr>
      <w:r>
        <w:rPr>
          <w:rFonts w:ascii="Noto Sans CJK SC" w:hAnsi="Noto Sans CJK SC" w:eastAsia="Noto Sans CJK SC"/>
          <w:sz w:val="21"/>
        </w:rPr>
        <w:t>用户主动重新生成会创建新的Run，不使用generationFingerprint或Nonce。</w:t>
      </w:r>
    </w:p>
    <w:p>
      <w:pPr>
        <w:pStyle w:val="ListBullet"/>
        <w:spacing w:after="40"/>
        <w:ind w:left="283" w:hanging="142"/>
      </w:pPr>
      <w:r>
        <w:rPr>
          <w:rFonts w:ascii="Noto Sans CJK SC" w:hAnsi="Noto Sans CJK SC" w:eastAsia="Noto Sans CJK SC"/>
          <w:sz w:val="21"/>
        </w:rPr>
        <w:t>网络失败在同一个Run上记录retryCount。</w:t>
      </w:r>
    </w:p>
    <w:p>
      <w:pPr>
        <w:pStyle w:val="Heading2"/>
        <w:keepNext/>
      </w:pPr>
      <w:r>
        <w:t>8.4 约束包</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优先级</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内容</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P0 程序硬约束</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锁定块、目标项目、目标章节、不可变Version、Revision</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P1 本章必须满足</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核心事件、必选节拍、前章尾状态、必须处理的伏笔</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P2 高相关设定</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出场人物、当前地点、关键道具、世界规则</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P3 表现要求</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作品规则、角色声音、场景节奏、作者样本</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P4 补充背景</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低相关历史和远期资料；Token不足时优先删除</w:t>
            </w:r>
          </w:p>
        </w:tc>
      </w:tr>
    </w:tbl>
    <w:p>
      <w:pPr>
        <w:pStyle w:val="Heading2"/>
        <w:keepNext/>
      </w:pPr>
      <w:r>
        <w:t>8.5 检索</w:t>
      </w:r>
    </w:p>
    <w:p>
      <w:pPr>
        <w:spacing w:line="324" w:lineRule="auto" w:after="100"/>
        <w:ind w:firstLine="420"/>
      </w:pPr>
      <w:r>
        <w:rPr>
          <w:rFonts w:ascii="Noto Sans CJK SC" w:hAnsi="Noto Sans CJK SC" w:eastAsia="Noto Sans CJK SC"/>
        </w:rPr>
        <w:t>基础检索使用结构化关联和SQLite FTS5：先读取与章节明确关联的人物、地点、道具、伏笔和当前状态，再用名称、别名和关键词从设定与正文中补充召回。超长篇项目必须追加时序有效性过滤、卷/剧情弧记忆和热温冷分区；语义检索仅在百万字评测证明FTS5召回不足后立项，不预建通用向量平台。</w:t>
      </w:r>
    </w:p>
    <w:tbl>
      <w:tblPr>
        <w:tblW w:type="auto" w:w="0"/>
        <w:tblLayout w:type="autofit"/>
        <w:tblLook w:firstColumn="1" w:firstRow="1" w:lastColumn="0" w:lastRow="0" w:noHBand="0" w:noVBand="1" w:val="04A0"/>
        <w:jc w:val="center"/>
        <w:tblBorders>
          <w:top w:val="single" w:sz="8" w:space="0" w:color="A96800"/>
          <w:left w:val="single" w:sz="8" w:space="0" w:color="A96800"/>
          <w:bottom w:val="single" w:sz="8" w:space="0" w:color="A96800"/>
          <w:right w:val="single" w:sz="8" w:space="0" w:color="A96800"/>
          <w:insideH w:val="single" w:sz="8" w:space="0" w:color="A96800"/>
          <w:insideV w:val="single" w:sz="8" w:space="0" w:color="A96800"/>
        </w:tblBorders>
      </w:tblPr>
      <w:tblGrid>
        <w:gridCol w:w="9638"/>
      </w:tblGrid>
      <w:tr>
        <w:tc>
          <w:tcPr>
            <w:tcW w:type="dxa" w:w="9638"/>
            <w:shd w:fill="F8FAFD"/>
            <w:tcMar>
              <w:top w:w="90" w:type="dxa"/>
              <w:start w:w="110" w:type="dxa"/>
              <w:bottom w:w="90" w:type="dxa"/>
              <w:end w:w="110" w:type="dxa"/>
            </w:tcMar>
            <w:vAlign w:val="center"/>
          </w:tcPr>
          <w:p>
            <w:pPr>
              <w:spacing w:after="0"/>
            </w:pPr>
            <w:r>
              <w:rPr>
                <w:rFonts w:ascii="Noto Sans CJK SC" w:hAnsi="Noto Sans CJK SC" w:eastAsia="Noto Sans CJK SC"/>
                <w:b/>
                <w:color w:val="A96800"/>
                <w:sz w:val="18"/>
              </w:rPr>
              <w:t>YAGNI约束：</w:t>
            </w:r>
            <w:r>
              <w:rPr>
                <w:rFonts w:ascii="Noto Sans CJK SC" w:hAnsi="Noto Sans CJK SC" w:eastAsia="Noto Sans CJK SC"/>
                <w:color w:val="25364A"/>
                <w:sz w:val="18"/>
              </w:rPr>
              <w:t>v1不建立向量检索接口、Embedding表或Rerank模型。只有真实项目评测证明FTS5长期不足时，才重新设计。</w:t>
            </w:r>
          </w:p>
        </w:tc>
        <w:trPr>
          <w:tblHeader/>
          <w:cantSplit/>
        </w:trPr>
      </w:tr>
    </w:tbl>
    <w:p>
      <w:pPr>
        <w:pStyle w:val="Heading2"/>
        <w:keepNext/>
      </w:pPr>
      <w:r>
        <w:t>8.6 T0/T1与局部重写</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213"/>
        <w:gridCol w:w="3213"/>
        <w:gridCol w:w="3213"/>
      </w:tblGrid>
      <w:tr>
        <w:trPr>
          <w:tblHeader w:val="true"/>
          <w:cantSplit/>
          <w:tblHeader w:val="true"/>
        </w:trPr>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任务</w:t>
            </w:r>
          </w:p>
        </w:tc>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输入</w:t>
            </w:r>
          </w:p>
        </w:tc>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输出</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T0骨架</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约束包、节拍、倾向</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多个结构化骨架Candidate</w:t>
            </w:r>
          </w:p>
        </w:tc>
      </w:tr>
      <w:tr>
        <w:trPr>
          <w:cantSplit/>
        </w:trPr>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T1正文</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约束包、选定骨架、文风</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完整章节Candidate</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局部重写</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目标块、指令、上下文、expectedHash</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局部Patch Candidate</w:t>
            </w:r>
          </w:p>
        </w:tc>
      </w:tr>
      <w:tr>
        <w:trPr>
          <w:cantSplit/>
        </w:trPr>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融合</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节拍来源选择、基础版本</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融合Candidate与过渡修补</w:t>
            </w:r>
          </w:p>
        </w:tc>
      </w:tr>
    </w:tbl>
    <w:p>
      <w:pPr>
        <w:pStyle w:val="Heading2"/>
        <w:keepNext/>
      </w:pPr>
      <w:r>
        <w:t>8.7 Candidate接受</w:t>
      </w:r>
    </w:p>
    <w:p>
      <w:pPr>
        <w:spacing w:after="40"/>
      </w:pPr>
      <w:r>
        <w:t>• 比较候选的baseDraftRevision和当前Draft Revision。</w:t>
      </w:r>
    </w:p>
    <w:p>
      <w:pPr>
        <w:spacing w:after="40"/>
      </w:pPr>
      <w:r>
        <w:t>• 校验目标块是否仍存在、Hash是否一致、是否新增锁定。</w:t>
      </w:r>
    </w:p>
    <w:p>
      <w:pPr>
        <w:spacing w:after="40"/>
      </w:pPr>
      <w:r>
        <w:t>• 无冲突时一次事务写入Draft并增加Revision。</w:t>
      </w:r>
    </w:p>
    <w:p>
      <w:pPr>
        <w:spacing w:after="40"/>
      </w:pPr>
      <w:r>
        <w:t>• 存在冲突时展示当前稿、候选稿和手动合并入口。</w:t>
      </w:r>
    </w:p>
    <w:p>
      <w:pPr>
        <w:pStyle w:val="Heading1"/>
        <w:keepNext/>
      </w:pPr>
      <w:r>
        <w:t>9. 校验、文风与修订工具</w:t>
      </w:r>
    </w:p>
    <w:p>
      <w:pPr>
        <w:pStyle w:val="Heading2"/>
        <w:keepNext/>
      </w:pPr>
      <w:r>
        <w:t>9.1 校验分层</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213"/>
        <w:gridCol w:w="3213"/>
        <w:gridCol w:w="3213"/>
      </w:tblGrid>
      <w:tr>
        <w:trPr>
          <w:tblHeader w:val="true"/>
          <w:cantSplit/>
          <w:tblHeader w:val="true"/>
        </w:trPr>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层级</w:t>
            </w:r>
          </w:p>
        </w:tc>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示例</w:t>
            </w:r>
          </w:p>
        </w:tc>
        <w:tc>
          <w:tcPr>
            <w:tcW w:type="dxa" w:w="3213"/>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实现</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确定性</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锁定块变化、必选节拍缺失、引用不存在</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代码和SQL规则</w:t>
            </w:r>
          </w:p>
        </w:tc>
      </w:tr>
      <w:tr>
        <w:trPr>
          <w:cantSplit/>
        </w:trPr>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统计</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句长、段落长度、重复词、专名密度</w:t>
            </w:r>
          </w:p>
        </w:tc>
        <w:tc>
          <w:tcPr>
            <w:tcW w:type="dxa" w:w="3213"/>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本地文本统计</w:t>
            </w:r>
          </w:p>
        </w:tc>
      </w:tr>
      <w:tr>
        <w:trPr>
          <w:cantSplit/>
        </w:trPr>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语义</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人物行为、前后衔接、设定冲突</w:t>
            </w:r>
          </w:p>
        </w:tc>
        <w:tc>
          <w:tcPr>
            <w:tcW w:type="dxa" w:w="3213"/>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模型结构化输出</w:t>
            </w:r>
          </w:p>
        </w:tc>
      </w:tr>
    </w:tbl>
    <w:p>
      <w:pPr>
        <w:pStyle w:val="Heading2"/>
        <w:keepNext/>
      </w:pPr>
      <w:r>
        <w:t>9.2 ValidationIssue</w:t>
      </w:r>
    </w:p>
    <w:p>
      <w:pPr>
        <w:spacing w:line="324" w:lineRule="auto" w:after="100"/>
        <w:ind w:firstLine="420"/>
      </w:pPr>
      <w:r>
        <w:rPr>
          <w:rFonts w:ascii="Noto Sans CJK SC" w:hAnsi="Noto Sans CJK SC" w:eastAsia="Noto Sans CJK SC"/>
          <w:sz w:val="21"/>
        </w:rPr>
        <w:t>每个问题只保存必要字段：类型、严重度、置信度、正文锚点、预期依据、说明、建议和处理状态。红色代表高风险，需要作者确认，不代表必须执行AI建议。</w:t>
      </w:r>
    </w:p>
    <w:p>
      <w:pPr>
        <w:pStyle w:val="Heading2"/>
        <w:keepNext/>
      </w:pPr>
      <w:r>
        <w:t>9.3 文风系统</w:t>
      </w:r>
    </w:p>
    <w:p>
      <w:pPr>
        <w:pStyle w:val="ListBullet"/>
        <w:spacing w:after="40"/>
        <w:ind w:left="283" w:hanging="142"/>
      </w:pPr>
      <w:r>
        <w:rPr>
          <w:rFonts w:ascii="Noto Sans CJK SC" w:hAnsi="Noto Sans CJK SC" w:eastAsia="Noto Sans CJK SC"/>
          <w:sz w:val="21"/>
        </w:rPr>
        <w:t>语言层：句长、词汇、段落、标点和口语程度。</w:t>
      </w:r>
    </w:p>
    <w:p>
      <w:pPr>
        <w:pStyle w:val="ListBullet"/>
        <w:spacing w:after="40"/>
        <w:ind w:left="283" w:hanging="142"/>
      </w:pPr>
      <w:r>
        <w:rPr>
          <w:rFonts w:ascii="Noto Sans CJK SC" w:hAnsi="Noto Sans CJK SC" w:eastAsia="Noto Sans CJK SC"/>
          <w:sz w:val="21"/>
        </w:rPr>
        <w:t>叙事层：视角、距离、信息释放和场景切换。</w:t>
      </w:r>
    </w:p>
    <w:p>
      <w:pPr>
        <w:pStyle w:val="ListBullet"/>
        <w:spacing w:after="40"/>
        <w:ind w:left="283" w:hanging="142"/>
      </w:pPr>
      <w:r>
        <w:rPr>
          <w:rFonts w:ascii="Noto Sans CJK SC" w:hAnsi="Noto Sans CJK SC" w:eastAsia="Noto Sans CJK SC"/>
          <w:sz w:val="21"/>
        </w:rPr>
        <w:t>人物层：角色句式、常用词、回避话题和潜台词。</w:t>
      </w:r>
    </w:p>
    <w:p>
      <w:pPr>
        <w:pStyle w:val="ListBullet"/>
        <w:spacing w:after="40"/>
        <w:ind w:left="283" w:hanging="142"/>
      </w:pPr>
      <w:r>
        <w:rPr>
          <w:rFonts w:ascii="Noto Sans CJK SC" w:hAnsi="Noto Sans CJK SC" w:eastAsia="Noto Sans CJK SC"/>
          <w:sz w:val="21"/>
        </w:rPr>
        <w:t>审美层：克制、留白、幽默、意象和情绪表达。</w:t>
      </w:r>
    </w:p>
    <w:p>
      <w:pPr>
        <w:spacing w:line="324" w:lineRule="auto" w:after="100"/>
        <w:ind w:firstLine="420"/>
      </w:pPr>
      <w:r>
        <w:rPr>
          <w:rFonts w:ascii="Noto Sans CJK SC" w:hAnsi="Noto Sans CJK SC" w:eastAsia="Noto Sans CJK SC"/>
          <w:sz w:val="21"/>
        </w:rPr>
        <w:t>v1只提供少量通用预设和作者样本提取，不使用具体作品名称作为公开模板。</w:t>
      </w:r>
    </w:p>
    <w:p>
      <w:pPr>
        <w:pStyle w:val="Heading2"/>
        <w:keepNext/>
      </w:pPr>
      <w:r>
        <w:t>9.4 机械表达风险</w:t>
      </w:r>
    </w:p>
    <w:p>
      <w:pPr>
        <w:pStyle w:val="ListBullet"/>
        <w:spacing w:after="40"/>
        <w:ind w:left="283" w:hanging="142"/>
      </w:pPr>
      <w:r>
        <w:rPr>
          <w:rFonts w:ascii="Noto Sans CJK SC" w:hAnsi="Noto Sans CJK SC" w:eastAsia="Noto Sans CJK SC"/>
          <w:sz w:val="21"/>
        </w:rPr>
        <w:t>空泛总结、重复解释、段尾强行升华。</w:t>
      </w:r>
    </w:p>
    <w:p>
      <w:pPr>
        <w:pStyle w:val="ListBullet"/>
        <w:spacing w:after="40"/>
        <w:ind w:left="283" w:hanging="142"/>
      </w:pPr>
      <w:r>
        <w:rPr>
          <w:rFonts w:ascii="Noto Sans CJK SC" w:hAnsi="Noto Sans CJK SC" w:eastAsia="Noto Sans CJK SC"/>
          <w:sz w:val="21"/>
        </w:rPr>
        <w:t>同构句式、过量转折词、无信息心理描写。</w:t>
      </w:r>
    </w:p>
    <w:p>
      <w:pPr>
        <w:pStyle w:val="ListBullet"/>
        <w:spacing w:after="40"/>
        <w:ind w:left="283" w:hanging="142"/>
      </w:pPr>
      <w:r>
        <w:rPr>
          <w:rFonts w:ascii="Noto Sans CJK SC" w:hAnsi="Noto Sans CJK SC" w:eastAsia="Noto Sans CJK SC"/>
          <w:sz w:val="21"/>
        </w:rPr>
        <w:t>角色同声、不必要感官堆砌、展示后再次解释。</w:t>
      </w:r>
    </w:p>
    <w:p>
      <w:pPr>
        <w:pStyle w:val="Heading2"/>
        <w:keepNext/>
      </w:pPr>
      <w:r>
        <w:t>9.5 修订检查表</w:t>
      </w:r>
    </w:p>
    <w:p>
      <w:pPr>
        <w:spacing w:line="324" w:lineRule="auto" w:after="100"/>
        <w:ind w:firstLine="420"/>
      </w:pPr>
      <w:r>
        <w:rPr>
          <w:rFonts w:ascii="Noto Sans CJK SC" w:hAnsi="Noto Sans CJK SC" w:eastAsia="Noto Sans CJK SC"/>
          <w:sz w:val="21"/>
        </w:rPr>
        <w:t>保留结构、人物、连续性、场景、语言和校对六类检查思想，但不开发修订状态机。每个检查项只有内容、分类、章节、来源和完成状态。</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interface RevisionItem {</w:t>
              <w:br/>
            </w:r>
            <w:r>
              <w:rPr>
                <w:rFonts w:ascii="Noto Sans CJK SC" w:hAnsi="Noto Sans CJK SC" w:eastAsia="Noto Sans CJK SC"/>
                <w:color w:val="243447"/>
                <w:sz w:val="18"/>
              </w:rPr>
              <w:t xml:space="preserve">  id: string;</w:t>
              <w:br/>
            </w:r>
            <w:r>
              <w:rPr>
                <w:rFonts w:ascii="Noto Sans CJK SC" w:hAnsi="Noto Sans CJK SC" w:eastAsia="Noto Sans CJK SC"/>
                <w:color w:val="243447"/>
                <w:sz w:val="18"/>
              </w:rPr>
              <w:t xml:space="preserve">  chapterId?: string;</w:t>
              <w:br/>
            </w:r>
            <w:r>
              <w:rPr>
                <w:rFonts w:ascii="Noto Sans CJK SC" w:hAnsi="Noto Sans CJK SC" w:eastAsia="Noto Sans CJK SC"/>
                <w:color w:val="243447"/>
                <w:sz w:val="18"/>
              </w:rPr>
              <w:t xml:space="preserve">  category: 'structure' | 'character' | 'continuity' | 'scene' | 'language' | 'proofreading';</w:t>
              <w:br/>
            </w:r>
            <w:r>
              <w:rPr>
                <w:rFonts w:ascii="Noto Sans CJK SC" w:hAnsi="Noto Sans CJK SC" w:eastAsia="Noto Sans CJK SC"/>
                <w:color w:val="243447"/>
                <w:sz w:val="18"/>
              </w:rPr>
              <w:t xml:space="preserve">  content: string;</w:t>
              <w:br/>
            </w:r>
            <w:r>
              <w:rPr>
                <w:rFonts w:ascii="Noto Sans CJK SC" w:hAnsi="Noto Sans CJK SC" w:eastAsia="Noto Sans CJK SC"/>
                <w:color w:val="243447"/>
                <w:sz w:val="18"/>
              </w:rPr>
              <w:t xml:space="preserve">  checked: boolean;</w:t>
              <w:br/>
            </w:r>
            <w:r>
              <w:rPr>
                <w:rFonts w:ascii="Noto Sans CJK SC" w:hAnsi="Noto Sans CJK SC" w:eastAsia="Noto Sans CJK SC"/>
                <w:color w:val="243447"/>
                <w:sz w:val="18"/>
              </w:rPr>
              <w:t xml:space="preserve">  source: 'manual' | 'validation';</w:t>
              <w:br/>
            </w:r>
            <w:r>
              <w:rPr>
                <w:rFonts w:ascii="Noto Sans CJK SC" w:hAnsi="Noto Sans CJK SC" w:eastAsia="Noto Sans CJK SC"/>
                <w:color w:val="243447"/>
                <w:sz w:val="18"/>
              </w:rPr>
              <w:t>}</w:t>
              <w:br/>
            </w:r>
          </w:p>
        </w:tc>
        <w:trPr>
          <w:tblHeader/>
          <w:cantSplit/>
        </w:trPr>
      </w:tr>
    </w:tbl>
    <w:p>
      <w:pPr>
        <w:pStyle w:val="Heading1"/>
        <w:keepNext/>
      </w:pPr>
      <w:r>
        <w:t>10. 搜索、笔记、批注与交付</w:t>
      </w:r>
    </w:p>
    <w:p>
      <w:pPr>
        <w:pStyle w:val="Heading2"/>
        <w:keepNext/>
      </w:pPr>
      <w:r>
        <w:t>10.1 全项目搜索</w:t>
      </w:r>
    </w:p>
    <w:p>
      <w:pPr>
        <w:pStyle w:val="ListBullet"/>
        <w:spacing w:after="40"/>
        <w:ind w:left="283" w:hanging="142"/>
      </w:pPr>
      <w:r>
        <w:rPr>
          <w:rFonts w:ascii="Noto Sans CJK SC" w:hAnsi="Noto Sans CJK SC" w:eastAsia="Noto Sans CJK SC"/>
          <w:sz w:val="21"/>
        </w:rPr>
        <w:t>搜索正文、设定、人物、伏笔、笔记和批注。</w:t>
      </w:r>
    </w:p>
    <w:p>
      <w:pPr>
        <w:pStyle w:val="ListBullet"/>
        <w:spacing w:after="40"/>
        <w:ind w:left="283" w:hanging="142"/>
      </w:pPr>
      <w:r>
        <w:rPr>
          <w:rFonts w:ascii="Noto Sans CJK SC" w:hAnsi="Noto Sans CJK SC" w:eastAsia="Noto Sans CJK SC"/>
          <w:sz w:val="21"/>
        </w:rPr>
        <w:t>支持按当前稿、定稿或全部版本限定范围。</w:t>
      </w:r>
    </w:p>
    <w:p>
      <w:pPr>
        <w:pStyle w:val="ListBullet"/>
        <w:spacing w:after="40"/>
        <w:ind w:left="283" w:hanging="142"/>
      </w:pPr>
      <w:r>
        <w:rPr>
          <w:rFonts w:ascii="Noto Sans CJK SC" w:hAnsi="Noto Sans CJK SC" w:eastAsia="Noto Sans CJK SC"/>
          <w:sz w:val="21"/>
        </w:rPr>
        <w:t>批量替换必须先预览，锁定块默认排除。</w:t>
      </w:r>
    </w:p>
    <w:p>
      <w:pPr>
        <w:pStyle w:val="Heading2"/>
        <w:keepNext/>
      </w:pPr>
      <w:r>
        <w:t>10.2 StoryTodo与批注</w:t>
      </w:r>
    </w:p>
    <w:p>
      <w:pPr>
        <w:spacing w:line="324" w:lineRule="auto" w:after="100"/>
        <w:ind w:firstLine="420"/>
      </w:pPr>
      <w:r>
        <w:rPr>
          <w:rFonts w:ascii="Noto Sans CJK SC" w:hAnsi="Noto Sans CJK SC" w:eastAsia="Noto Sans CJK SC"/>
          <w:sz w:val="21"/>
        </w:rPr>
        <w:t>StoryTodo替代复杂Issue系统。字段包括文本、分类、可选章节/实体/块锚点、完成状态。批注用于作者记录局部修改意图，不设置负责人、审批、回归和冻结流程。</w:t>
      </w:r>
    </w:p>
    <w:p>
      <w:pPr>
        <w:pStyle w:val="Heading2"/>
        <w:keepNext/>
      </w:pPr>
      <w:r>
        <w:t>10.3 最小研究笔记</w:t>
      </w:r>
    </w:p>
    <w:p>
      <w:pPr>
        <w:spacing w:line="324" w:lineRule="auto" w:after="100"/>
        <w:ind w:firstLine="420"/>
      </w:pPr>
      <w:r>
        <w:rPr>
          <w:rFonts w:ascii="Noto Sans CJK SC" w:hAnsi="Noto Sans CJK SC" w:eastAsia="Noto Sans CJK SC"/>
          <w:sz w:val="21"/>
        </w:rPr>
        <w:t>研究功能仅保留本地文本笔记、文件路径、来源URL、标签和与章节/实体的关联。它不是文献管理器，不做网页抓取、可信度自动评分、许可证推断和资料聚类。</w:t>
      </w:r>
    </w:p>
    <w:p>
      <w:pPr>
        <w:pStyle w:val="Heading2"/>
        <w:keepNext/>
      </w:pPr>
      <w:r>
        <w:t>10.4 导入导出</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方向</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v1支持</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导入</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TXT、Markdown；可选DOCX基础分章</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导出</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TXT、Markdown、DOCX</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项目备份</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.wfproj本地备份包</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发布记录</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可选保存publishedVersionId，不建设发布中心</w:t>
            </w:r>
          </w:p>
        </w:tc>
      </w:tr>
    </w:tbl>
    <w:p>
      <w:pPr>
        <w:pStyle w:val="Heading1"/>
        <w:pageBreakBefore/>
      </w:pPr>
      <w:r>
        <w:rPr>
          <w:b w:val="0"/>
        </w:rPr>
        <w:t>11. 双模式交互与UI设计</w:t>
      </w:r>
    </w:p>
    <w:p>
      <w:r>
        <w:rPr>
          <w:b w:val="0"/>
        </w:rPr>
        <w:t>本章定义作者实际看到和操作的产品界面。UI必须隐藏不必要的工程概念，使小白无需学习即可开始，同时允许资深作者绕过向导、自由写作并精确控制AI。</w:t>
      </w:r>
    </w:p>
    <w:p>
      <w:pPr>
        <w:pStyle w:val="Heading2"/>
      </w:pPr>
      <w:r>
        <w:rPr>
          <w:b w:val="0"/>
        </w:rPr>
        <w:t>11.1 UI设计目标</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194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目标</w:t>
            </w:r>
          </w:p>
        </w:tc>
        <w:tc>
          <w:tcPr>
            <w:tcW w:type="dxa" w:w="7488"/>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落地要求</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低学习成本</w:t>
            </w:r>
          </w:p>
        </w:tc>
        <w:tc>
          <w:tcPr>
            <w:tcW w:type="dxa" w:w="74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首次打开只展示下一步，不要求先完成全部设定</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写作不中断</w:t>
            </w:r>
          </w:p>
        </w:tc>
        <w:tc>
          <w:tcPr>
            <w:tcW w:type="dxa" w:w="74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常用上下文和AI动作在章节工作台内完成，减少页面跳转</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渐进披露</w:t>
            </w:r>
          </w:p>
        </w:tc>
        <w:tc>
          <w:tcPr>
            <w:tcW w:type="dxa" w:w="74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高级字段、审计信息和连续性细节按需展开</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作者控制</w:t>
            </w:r>
          </w:p>
        </w:tc>
        <w:tc>
          <w:tcPr>
            <w:tcW w:type="dxa" w:w="74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AI永远以备选稿出现；接受、覆盖、删除均有明确结果提示</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操作可逆</w:t>
            </w:r>
          </w:p>
        </w:tc>
        <w:tc>
          <w:tcPr>
            <w:tcW w:type="dxa" w:w="74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候选采用、历史恢复和批量替换均提供预览或撤销路径</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术语友好</w:t>
            </w:r>
          </w:p>
        </w:tc>
        <w:tc>
          <w:tcPr>
            <w:tcW w:type="dxa" w:w="74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界面使用作者语言；工程术语仅在专业审计视图出现</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安静反馈</w:t>
            </w:r>
          </w:p>
        </w:tc>
        <w:tc>
          <w:tcPr>
            <w:tcW w:type="dxa" w:w="74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保存、校验和模型状态持续可见，但不频繁弹窗打断</w:t>
            </w:r>
          </w:p>
        </w:tc>
      </w:tr>
    </w:tbl>
    <w:p>
      <w:pPr>
        <w:pStyle w:val="Heading2"/>
      </w:pPr>
      <w:r>
        <w:rPr>
          <w:b w:val="0"/>
        </w:rPr>
        <w:t>11.2 信息架构与一级导航</w:t>
      </w:r>
    </w:p>
    <w:p>
      <w:r>
        <w:rPr>
          <w:b w:val="0"/>
        </w:rPr>
        <w:t>产品固定六个一级入口。新手模式默认折叠“连续性”和部分高级功能，但入口结构与专业模式一致，避免后续迁移学习成本。</w:t>
      </w:r>
    </w:p>
    <w:p>
      <w:pPr>
        <w:jc w:val="center"/>
      </w:pPr>
      <w:r>
        <w:drawing>
          <wp:inline xmlns:a="http://schemas.openxmlformats.org/drawingml/2006/main" xmlns:pic="http://schemas.openxmlformats.org/drawingml/2006/picture">
            <wp:extent cx="5943600" cy="3343275"/>
            <wp:docPr id="5" name="Picture 5" descr="六个卡片组成的信息架构图：首页、规划、写作、人物与设定、连续性、检查与导出。" title="图11-1 统一信息架构与六个一级入口"/>
            <wp:cNvGraphicFramePr>
              <a:graphicFrameLocks noChangeAspect="1"/>
            </wp:cNvGraphicFramePr>
            <a:graphic>
              <a:graphicData uri="http://schemas.openxmlformats.org/drawingml/2006/picture">
                <pic:pic>
                  <pic:nvPicPr>
                    <pic:cNvPr id="0" name="01_information_architecture.png"/>
                    <pic:cNvPicPr/>
                  </pic:nvPicPr>
                  <pic:blipFill>
                    <a:blip r:embed="rId14"/>
                    <a:stretch>
                      <a:fillRect/>
                    </a:stretch>
                  </pic:blipFill>
                  <pic:spPr>
                    <a:xfrm>
                      <a:off x="0" y="0"/>
                      <a:ext cx="5943600" cy="3343275"/>
                    </a:xfrm>
                    <a:prstGeom prst="rect"/>
                  </pic:spPr>
                </pic:pic>
              </a:graphicData>
            </a:graphic>
          </wp:inline>
        </w:drawing>
      </w:r>
    </w:p>
    <w:p>
      <w:pPr>
        <w:jc w:val="center"/>
      </w:pPr>
      <w:r>
        <w:rPr>
          <w:b w:val="0"/>
          <w:i/>
          <w:color w:val="687386"/>
          <w:sz w:val="18"/>
        </w:rPr>
        <w:t>图11-1 统一信息架构与六个一级入口</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656"/>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入口</w:t>
            </w:r>
          </w:p>
        </w:tc>
        <w:tc>
          <w:tcPr>
            <w:tcW w:type="dxa" w:w="468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主要内容</w:t>
            </w:r>
          </w:p>
        </w:tc>
        <w:tc>
          <w:tcPr>
            <w:tcW w:type="dxa" w:w="252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新手默认</w:t>
            </w:r>
          </w:p>
        </w:tc>
      </w:tr>
      <w:tr>
        <w:trPr>
          <w:cantSplit/>
        </w:trPr>
        <w:tc>
          <w:tcPr>
            <w:tcW w:type="dxa" w:w="16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首页</w:t>
            </w:r>
          </w:p>
        </w:tc>
        <w:tc>
          <w:tcPr>
            <w:tcW w:type="dxa" w:w="468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继续写作、最近章节、下一步、今日字数、项目状态</w:t>
            </w:r>
          </w:p>
        </w:tc>
        <w:tc>
          <w:tcPr>
            <w:tcW w:type="dxa" w:w="25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显示</w:t>
            </w:r>
          </w:p>
        </w:tc>
      </w:tr>
      <w:tr>
        <w:trPr>
          <w:cantSplit/>
        </w:trPr>
        <w:tc>
          <w:tcPr>
            <w:tcW w:type="dxa" w:w="165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规划</w:t>
            </w:r>
          </w:p>
        </w:tc>
        <w:tc>
          <w:tcPr>
            <w:tcW w:type="dxa" w:w="468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作品任务书、大纲树、场景卡、章节目标</w:t>
            </w:r>
          </w:p>
        </w:tc>
        <w:tc>
          <w:tcPr>
            <w:tcW w:type="dxa" w:w="25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显示</w:t>
            </w:r>
          </w:p>
        </w:tc>
      </w:tr>
      <w:tr>
        <w:trPr>
          <w:cantSplit/>
        </w:trPr>
        <w:tc>
          <w:tcPr>
            <w:tcW w:type="dxa" w:w="16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写作</w:t>
            </w:r>
          </w:p>
        </w:tc>
        <w:tc>
          <w:tcPr>
            <w:tcW w:type="dxa" w:w="468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卷章目录、正文、AI助手、候选比较</w:t>
            </w:r>
          </w:p>
        </w:tc>
        <w:tc>
          <w:tcPr>
            <w:tcW w:type="dxa" w:w="25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显示</w:t>
            </w:r>
          </w:p>
        </w:tc>
      </w:tr>
      <w:tr>
        <w:trPr>
          <w:cantSplit/>
        </w:trPr>
        <w:tc>
          <w:tcPr>
            <w:tcW w:type="dxa" w:w="165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人物与设定</w:t>
            </w:r>
          </w:p>
        </w:tc>
        <w:tc>
          <w:tcPr>
            <w:tcW w:type="dxa" w:w="468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人物、地点、势力、规则、道具和关系</w:t>
            </w:r>
          </w:p>
        </w:tc>
        <w:tc>
          <w:tcPr>
            <w:tcW w:type="dxa" w:w="25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显示</w:t>
            </w:r>
          </w:p>
        </w:tc>
      </w:tr>
      <w:tr>
        <w:trPr>
          <w:cantSplit/>
        </w:trPr>
        <w:tc>
          <w:tcPr>
            <w:tcW w:type="dxa" w:w="16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连续性</w:t>
            </w:r>
          </w:p>
        </w:tc>
        <w:tc>
          <w:tcPr>
            <w:tcW w:type="dxa" w:w="468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时间线、知情信息、伏笔、动态状态</w:t>
            </w:r>
          </w:p>
        </w:tc>
        <w:tc>
          <w:tcPr>
            <w:tcW w:type="dxa" w:w="25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折叠</w:t>
            </w:r>
          </w:p>
        </w:tc>
      </w:tr>
      <w:tr>
        <w:trPr>
          <w:cantSplit/>
        </w:trPr>
        <w:tc>
          <w:tcPr>
            <w:tcW w:type="dxa" w:w="165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检查与导出</w:t>
            </w:r>
          </w:p>
        </w:tc>
        <w:tc>
          <w:tcPr>
            <w:tcW w:type="dxa" w:w="468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校验、待修、版本、导入导出和备份</w:t>
            </w:r>
          </w:p>
        </w:tc>
        <w:tc>
          <w:tcPr>
            <w:tcW w:type="dxa" w:w="25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显示</w:t>
            </w:r>
          </w:p>
        </w:tc>
      </w:tr>
    </w:tbl>
    <w:p>
      <w:pPr>
        <w:pStyle w:val="Heading2"/>
      </w:pPr>
      <w:r>
        <w:rPr>
          <w:b w:val="0"/>
        </w:rPr>
        <w:t>11.3 新建作品向导</w:t>
      </w:r>
    </w:p>
    <w:p>
      <w:r>
        <w:rPr>
          <w:b w:val="0"/>
        </w:rPr>
        <w:t>新建向导只负责建立“可以开始写”的最小项目，不要求作者在开写前补齐完整世界观。所有步骤都可跳过，系统不得用红色错误阻止进入编辑器。</w:t>
      </w:r>
    </w:p>
    <w:p>
      <w:pPr>
        <w:jc w:val="center"/>
      </w:pPr>
      <w:r>
        <w:drawing>
          <wp:inline xmlns:a="http://schemas.openxmlformats.org/drawingml/2006/main" xmlns:pic="http://schemas.openxmlformats.org/drawingml/2006/picture">
            <wp:extent cx="5943600" cy="3343275"/>
            <wp:docPr id="6" name="Picture 6" descr="五步进度条与问题式故事核心表单。" title="图11-2 五步新建作品向导"/>
            <wp:cNvGraphicFramePr>
              <a:graphicFrameLocks noChangeAspect="1"/>
            </wp:cNvGraphicFramePr>
            <a:graphic>
              <a:graphicData uri="http://schemas.openxmlformats.org/drawingml/2006/picture">
                <pic:pic>
                  <pic:nvPicPr>
                    <pic:cNvPr id="0" name="02_onboarding.png"/>
                    <pic:cNvPicPr/>
                  </pic:nvPicPr>
                  <pic:blipFill>
                    <a:blip r:embed="rId15"/>
                    <a:stretch>
                      <a:fillRect/>
                    </a:stretch>
                  </pic:blipFill>
                  <pic:spPr>
                    <a:xfrm>
                      <a:off x="0" y="0"/>
                      <a:ext cx="5943600" cy="3343275"/>
                    </a:xfrm>
                    <a:prstGeom prst="rect"/>
                  </pic:spPr>
                </pic:pic>
              </a:graphicData>
            </a:graphic>
          </wp:inline>
        </w:drawing>
      </w:r>
    </w:p>
    <w:p>
      <w:pPr>
        <w:jc w:val="center"/>
      </w:pPr>
      <w:r>
        <w:rPr>
          <w:b w:val="0"/>
          <w:i/>
          <w:color w:val="687386"/>
          <w:sz w:val="18"/>
        </w:rPr>
        <w:t>图11-2 五步新建作品向导</w:t>
      </w:r>
    </w:p>
    <w:p>
      <w:pPr/>
      <w:r>
        <w:t>1. 写什么：选择题材标签、篇幅级别和创作方式；允许“不确定”。</w:t>
      </w:r>
    </w:p>
    <w:p>
      <w:pPr/>
      <w:r>
        <w:t>2. 故事核心：用五个普通问题生成作品任务书草稿。</w:t>
      </w:r>
    </w:p>
    <w:p>
      <w:pPr/>
      <w:r>
        <w:t>3. 关键人物：只要求建立主角，可选添加对手和核心关系人物。</w:t>
      </w:r>
    </w:p>
    <w:p>
      <w:pPr/>
      <w:r>
        <w:t>4. 已有材料：选择“只有想法”“已有大纲”“已有正文”，决定后续入口。</w:t>
      </w:r>
    </w:p>
    <w:p>
      <w:pPr/>
      <w:r>
        <w:t>5. 开始第一章：生成或手填本章目标，直接进入写作工作台。</w:t>
      </w:r>
    </w:p>
    <w:p>
      <w:r>
        <w:rPr>
          <w:b w:val="0"/>
        </w:rPr>
        <w:t>新手完成向导的目标时间不超过五分钟。专业作者可以选择“空白项目”并直接进入章节编辑。</w:t>
      </w:r>
    </w:p>
    <w:p>
      <w:pPr>
        <w:pStyle w:val="Heading2"/>
      </w:pPr>
      <w:r>
        <w:rPr>
          <w:b w:val="0"/>
        </w:rPr>
        <w:t>11.4 首页与下一步引导</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80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区域</w:t>
            </w:r>
          </w:p>
        </w:tc>
        <w:tc>
          <w:tcPr>
            <w:tcW w:type="dxa" w:w="432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内容</w:t>
            </w:r>
          </w:p>
        </w:tc>
        <w:tc>
          <w:tcPr>
            <w:tcW w:type="dxa" w:w="288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交互</w:t>
            </w:r>
          </w:p>
        </w:tc>
      </w:tr>
      <w:tr>
        <w:trPr>
          <w:cantSplit/>
        </w:trPr>
        <w:tc>
          <w:tcPr>
            <w:tcW w:type="dxa" w:w="18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继续写作</w:t>
            </w:r>
          </w:p>
        </w:tc>
        <w:tc>
          <w:tcPr>
            <w:tcW w:type="dxa" w:w="43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上次章节、光标位置、保存时间</w:t>
            </w:r>
          </w:p>
        </w:tc>
        <w:tc>
          <w:tcPr>
            <w:tcW w:type="dxa" w:w="288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单击直接恢复现场</w:t>
            </w:r>
          </w:p>
        </w:tc>
      </w:tr>
      <w:tr>
        <w:trPr>
          <w:cantSplit/>
        </w:trPr>
        <w:tc>
          <w:tcPr>
            <w:tcW w:type="dxa" w:w="18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下一步</w:t>
            </w:r>
          </w:p>
        </w:tc>
        <w:tc>
          <w:tcPr>
            <w:tcW w:type="dxa" w:w="43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根据当前项目状态给出一项建议</w:t>
            </w:r>
          </w:p>
        </w:tc>
        <w:tc>
          <w:tcPr>
            <w:tcW w:type="dxa" w:w="288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可关闭；不自动执行</w:t>
            </w:r>
          </w:p>
        </w:tc>
      </w:tr>
      <w:tr>
        <w:trPr>
          <w:cantSplit/>
        </w:trPr>
        <w:tc>
          <w:tcPr>
            <w:tcW w:type="dxa" w:w="18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最近章节</w:t>
            </w:r>
          </w:p>
        </w:tc>
        <w:tc>
          <w:tcPr>
            <w:tcW w:type="dxa" w:w="43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最近编辑和待检查章节</w:t>
            </w:r>
          </w:p>
        </w:tc>
        <w:tc>
          <w:tcPr>
            <w:tcW w:type="dxa" w:w="288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支持固定常用章节</w:t>
            </w:r>
          </w:p>
        </w:tc>
      </w:tr>
      <w:tr>
        <w:trPr>
          <w:cantSplit/>
        </w:trPr>
        <w:tc>
          <w:tcPr>
            <w:tcW w:type="dxa" w:w="18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今日进度</w:t>
            </w:r>
          </w:p>
        </w:tc>
        <w:tc>
          <w:tcPr>
            <w:tcW w:type="dxa" w:w="43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今日新增字数和写作时长</w:t>
            </w:r>
          </w:p>
        </w:tc>
        <w:tc>
          <w:tcPr>
            <w:tcW w:type="dxa" w:w="288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只做客观统计，不做排名</w:t>
            </w:r>
          </w:p>
        </w:tc>
      </w:tr>
      <w:tr>
        <w:trPr>
          <w:cantSplit/>
        </w:trPr>
        <w:tc>
          <w:tcPr>
            <w:tcW w:type="dxa" w:w="18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项目提醒</w:t>
            </w:r>
          </w:p>
        </w:tc>
        <w:tc>
          <w:tcPr>
            <w:tcW w:type="dxa" w:w="43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备份过期、模型不可用、高风险连续性问题</w:t>
            </w:r>
          </w:p>
        </w:tc>
        <w:tc>
          <w:tcPr>
            <w:tcW w:type="dxa" w:w="288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分级显示，避免全部红色</w:t>
            </w:r>
          </w:p>
        </w:tc>
      </w:tr>
      <w:tr>
        <w:trPr>
          <w:cantSplit/>
        </w:trPr>
        <w:tc>
          <w:tcPr>
            <w:tcW w:type="dxa" w:w="18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快速入口</w:t>
            </w:r>
          </w:p>
        </w:tc>
        <w:tc>
          <w:tcPr>
            <w:tcW w:type="dxa" w:w="43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新建章节、记录灵感、导入文本、全局搜索</w:t>
            </w:r>
          </w:p>
        </w:tc>
        <w:tc>
          <w:tcPr>
            <w:tcW w:type="dxa" w:w="288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支持快捷键</w:t>
            </w:r>
          </w:p>
        </w:tc>
      </w:tr>
    </w:tbl>
    <w:p>
      <w:pPr>
        <w:pStyle w:val="Heading2"/>
      </w:pPr>
      <w:r>
        <w:rPr>
          <w:b w:val="0"/>
        </w:rPr>
        <w:t>11.5 三大核心工作台</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872"/>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工作台</w:t>
            </w:r>
          </w:p>
        </w:tc>
        <w:tc>
          <w:tcPr>
            <w:tcW w:type="dxa" w:w="3816"/>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主要任务</w:t>
            </w:r>
          </w:p>
        </w:tc>
        <w:tc>
          <w:tcPr>
            <w:tcW w:type="dxa" w:w="338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核心视图</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规划工作台</w:t>
            </w:r>
          </w:p>
        </w:tc>
        <w:tc>
          <w:tcPr>
            <w:tcW w:type="dxa" w:w="381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把想法整理成可写结构</w:t>
            </w:r>
          </w:p>
        </w:tc>
        <w:tc>
          <w:tcPr>
            <w:tcW w:type="dxa" w:w="33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任务书、大纲树、场景卡、章节目标</w:t>
            </w:r>
          </w:p>
        </w:tc>
      </w:tr>
      <w:tr>
        <w:trPr>
          <w:cantSplit/>
        </w:trPr>
        <w:tc>
          <w:tcPr>
            <w:tcW w:type="dxa" w:w="18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写作工作台</w:t>
            </w:r>
          </w:p>
        </w:tc>
        <w:tc>
          <w:tcPr>
            <w:tcW w:type="dxa" w:w="381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完成正文与AI协作</w:t>
            </w:r>
          </w:p>
        </w:tc>
        <w:tc>
          <w:tcPr>
            <w:tcW w:type="dxa" w:w="33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卷章目录、正文编辑器、本章助手、候选比较</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检查工作台</w:t>
            </w:r>
          </w:p>
        </w:tc>
        <w:tc>
          <w:tcPr>
            <w:tcW w:type="dxa" w:w="381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修正问题并形成可交付版本</w:t>
            </w:r>
          </w:p>
        </w:tc>
        <w:tc>
          <w:tcPr>
            <w:tcW w:type="dxa" w:w="33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校验、待修、连续性、历史版本、导出</w:t>
            </w:r>
          </w:p>
        </w:tc>
      </w:tr>
    </w:tbl>
    <w:p>
      <w:r>
        <w:rPr>
          <w:b w:val="0"/>
        </w:rPr>
        <w:t>三大工作台不是三套数据。所有操作围绕同一章节和同一组实体展开，作者从任何工作台返回写作时应保持当前章节、选区和滚动位置。</w:t>
      </w:r>
    </w:p>
    <w:p>
      <w:pPr>
        <w:pStyle w:val="Heading2"/>
      </w:pPr>
      <w:r>
        <w:rPr>
          <w:b w:val="0"/>
        </w:rPr>
        <w:t>11.6 规划工作台</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2088"/>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区域</w:t>
            </w:r>
          </w:p>
        </w:tc>
        <w:tc>
          <w:tcPr>
            <w:tcW w:type="dxa" w:w="698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功能</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左侧结构树</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卷、剧情段、章节层级；支持拖拽、折叠和快速新增</w:t>
            </w:r>
          </w:p>
        </w:tc>
      </w:tr>
      <w:tr>
        <w:trPr>
          <w:cantSplit/>
        </w:trPr>
        <w:tc>
          <w:tcPr>
            <w:tcW w:type="dxa" w:w="20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中央场景板</w:t>
            </w:r>
          </w:p>
        </w:tc>
        <w:tc>
          <w:tcPr>
            <w:tcW w:type="dxa" w:w="69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以卡片显示场景目标、参与人物、冲突、结果和预计字数</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右侧详情</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编辑当前节点；新手显示简化问题，专业模式显示完整字段</w:t>
            </w:r>
          </w:p>
        </w:tc>
      </w:tr>
      <w:tr>
        <w:trPr>
          <w:cantSplit/>
        </w:trPr>
        <w:tc>
          <w:tcPr>
            <w:tcW w:type="dxa" w:w="20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底部提示</w:t>
            </w:r>
          </w:p>
        </w:tc>
        <w:tc>
          <w:tcPr>
            <w:tcW w:type="dxa" w:w="69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章节总预计字数、未覆盖人物、未处理伏笔；仅作提示</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AI操作</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生成三种章节结构、拆分场景、强化冲突、检查重复场景</w:t>
            </w:r>
          </w:p>
        </w:tc>
      </w:tr>
    </w:tbl>
    <w:p>
      <w:r>
        <w:rPr>
          <w:b w:val="0"/>
        </w:rPr>
        <w:t>场景卡是作者界面的主操作单位，内部仍映射到SceneBeat。默认卡片只显示“目标—冲突—结果”，其他字段在展开后编辑。</w:t>
      </w:r>
    </w:p>
    <w:p>
      <w:pPr>
        <w:pStyle w:val="Heading2"/>
      </w:pPr>
      <w:r>
        <w:rPr>
          <w:b w:val="0"/>
        </w:rPr>
        <w:t>11.7 章节写作工作台</w:t>
      </w:r>
    </w:p>
    <w:p>
      <w:r>
        <w:rPr>
          <w:b w:val="0"/>
        </w:rPr>
        <w:t>写作工作台采用三栏布局，并允许作者折叠任意侧栏。窗口宽度不足时优先保留正文，中间编辑区最小宽度不得低于640px。</w:t>
      </w:r>
    </w:p>
    <w:p>
      <w:pPr>
        <w:jc w:val="center"/>
      </w:pPr>
      <w:r>
        <w:drawing>
          <wp:inline xmlns:a="http://schemas.openxmlformats.org/drawingml/2006/main" xmlns:pic="http://schemas.openxmlformats.org/drawingml/2006/picture">
            <wp:extent cx="5943600" cy="3343275"/>
            <wp:docPr id="7" name="Picture 7" descr="三栏章节工作台：左侧卷章和场景，中间正文，右侧本章助手，底部状态栏。" title="图11-3 章节写作工作台"/>
            <wp:cNvGraphicFramePr>
              <a:graphicFrameLocks noChangeAspect="1"/>
            </wp:cNvGraphicFramePr>
            <a:graphic>
              <a:graphicData uri="http://schemas.openxmlformats.org/drawingml/2006/picture">
                <pic:pic>
                  <pic:nvPicPr>
                    <pic:cNvPr id="0" name="03_writing_workspace.png"/>
                    <pic:cNvPicPr/>
                  </pic:nvPicPr>
                  <pic:blipFill>
                    <a:blip r:embed="rId16"/>
                    <a:stretch>
                      <a:fillRect/>
                    </a:stretch>
                  </pic:blipFill>
                  <pic:spPr>
                    <a:xfrm>
                      <a:off x="0" y="0"/>
                      <a:ext cx="5943600" cy="3343275"/>
                    </a:xfrm>
                    <a:prstGeom prst="rect"/>
                  </pic:spPr>
                </pic:pic>
              </a:graphicData>
            </a:graphic>
          </wp:inline>
        </w:drawing>
      </w:r>
    </w:p>
    <w:p>
      <w:pPr>
        <w:jc w:val="center"/>
      </w:pPr>
      <w:r>
        <w:rPr>
          <w:b w:val="0"/>
          <w:i/>
          <w:color w:val="687386"/>
          <w:sz w:val="18"/>
        </w:rPr>
        <w:t>图11-3 章节写作工作台</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656"/>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区域</w:t>
            </w:r>
          </w:p>
        </w:tc>
        <w:tc>
          <w:tcPr>
            <w:tcW w:type="dxa" w:w="194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推荐尺寸</w:t>
            </w:r>
          </w:p>
        </w:tc>
        <w:tc>
          <w:tcPr>
            <w:tcW w:type="dxa" w:w="5472"/>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内容</w:t>
            </w:r>
          </w:p>
        </w:tc>
      </w:tr>
      <w:tr>
        <w:trPr>
          <w:cantSplit/>
        </w:trPr>
        <w:tc>
          <w:tcPr>
            <w:tcW w:type="dxa" w:w="16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顶部栏</w:t>
            </w:r>
          </w:p>
        </w:tc>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48-56px</w:t>
            </w:r>
          </w:p>
        </w:tc>
        <w:tc>
          <w:tcPr>
            <w:tcW w:type="dxa" w:w="54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作品名、保存状态、字数、模型连接和当前模式</w:t>
            </w:r>
          </w:p>
        </w:tc>
      </w:tr>
      <w:tr>
        <w:trPr>
          <w:cantSplit/>
        </w:trPr>
        <w:tc>
          <w:tcPr>
            <w:tcW w:type="dxa" w:w="165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左侧栏</w:t>
            </w:r>
          </w:p>
        </w:tc>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240-280px</w:t>
            </w:r>
          </w:p>
        </w:tc>
        <w:tc>
          <w:tcPr>
            <w:tcW w:type="dxa" w:w="54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卷章目录、场景列表、章节状态；可折叠</w:t>
            </w:r>
          </w:p>
        </w:tc>
      </w:tr>
      <w:tr>
        <w:trPr>
          <w:cantSplit/>
        </w:trPr>
        <w:tc>
          <w:tcPr>
            <w:tcW w:type="dxa" w:w="16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中央区</w:t>
            </w:r>
          </w:p>
        </w:tc>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自适应，最小640px</w:t>
            </w:r>
          </w:p>
        </w:tc>
        <w:tc>
          <w:tcPr>
            <w:tcW w:type="dxa" w:w="54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Tiptap正文编辑器和选中文本浮动工具栏</w:t>
            </w:r>
          </w:p>
        </w:tc>
      </w:tr>
      <w:tr>
        <w:trPr>
          <w:cantSplit/>
        </w:trPr>
        <w:tc>
          <w:tcPr>
            <w:tcW w:type="dxa" w:w="165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右侧栏</w:t>
            </w:r>
          </w:p>
        </w:tc>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300-340px</w:t>
            </w:r>
          </w:p>
        </w:tc>
        <w:tc>
          <w:tcPr>
            <w:tcW w:type="dxa" w:w="54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本章、AI、人物、设定、检查五个标签</w:t>
            </w:r>
          </w:p>
        </w:tc>
      </w:tr>
      <w:tr>
        <w:trPr>
          <w:cantSplit/>
        </w:trPr>
        <w:tc>
          <w:tcPr>
            <w:tcW w:type="dxa" w:w="16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底部栏</w:t>
            </w:r>
          </w:p>
        </w:tc>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26-32px</w:t>
            </w:r>
          </w:p>
        </w:tc>
        <w:tc>
          <w:tcPr>
            <w:tcW w:type="dxa" w:w="54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当前章/全书字数、保存时间、生成任务和校验状态</w:t>
            </w:r>
          </w:p>
        </w:tc>
      </w:tr>
    </w:tbl>
    <w:p>
      <w:r>
        <w:rPr>
          <w:b w:val="0"/>
        </w:rPr>
        <w:t>编辑器提供三种显示方式：</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872"/>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显示方式</w:t>
            </w:r>
          </w:p>
        </w:tc>
        <w:tc>
          <w:tcPr>
            <w:tcW w:type="dxa" w:w="3888"/>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默认内容</w:t>
            </w:r>
          </w:p>
        </w:tc>
        <w:tc>
          <w:tcPr>
            <w:tcW w:type="dxa" w:w="324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适用场景</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纯净模式</w:t>
            </w:r>
          </w:p>
        </w:tc>
        <w:tc>
          <w:tcPr>
            <w:tcW w:type="dxa" w:w="38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只显示正文、字数和保存状态</w:t>
            </w:r>
          </w:p>
        </w:tc>
        <w:tc>
          <w:tcPr>
            <w:tcW w:type="dxa" w:w="324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通读、手写和沉浸写作</w:t>
            </w:r>
          </w:p>
        </w:tc>
      </w:tr>
      <w:tr>
        <w:trPr>
          <w:cantSplit/>
        </w:trPr>
        <w:tc>
          <w:tcPr>
            <w:tcW w:type="dxa" w:w="18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来源模式</w:t>
            </w:r>
          </w:p>
        </w:tc>
        <w:tc>
          <w:tcPr>
            <w:tcW w:type="dxa" w:w="38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用细边标记手动、AI、混合和锁定来源</w:t>
            </w:r>
          </w:p>
        </w:tc>
        <w:tc>
          <w:tcPr>
            <w:tcW w:type="dxa" w:w="324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修改和候选采用</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审计模式</w:t>
            </w:r>
          </w:p>
        </w:tc>
        <w:tc>
          <w:tcPr>
            <w:tcW w:type="dxa" w:w="38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显示逻辑块、版本来源、模型运行和校验锚点</w:t>
            </w:r>
          </w:p>
        </w:tc>
        <w:tc>
          <w:tcPr>
            <w:tcW w:type="dxa" w:w="324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排错、回溯和高级检查</w:t>
            </w:r>
          </w:p>
        </w:tc>
      </w:tr>
    </w:tbl>
    <w:p>
      <w:pPr>
        <w:pStyle w:val="Heading2"/>
      </w:pPr>
      <w:r>
        <w:rPr>
          <w:b w:val="0"/>
        </w:rPr>
        <w:t>11.8 AI助手与快捷动作</w:t>
      </w:r>
    </w:p>
    <w:p>
      <w:r>
        <w:rPr>
          <w:b w:val="0"/>
        </w:rPr>
        <w:t>AI入口必须以明确动作按钮为主，自定义指令框为辅。按钮仅生成候选，不直接改变正文。不同选区和上下文决定可用动作。</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2016"/>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上下文</w:t>
            </w:r>
          </w:p>
        </w:tc>
        <w:tc>
          <w:tcPr>
            <w:tcW w:type="dxa" w:w="7056"/>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默认快捷动作</w:t>
            </w:r>
          </w:p>
        </w:tc>
      </w:tr>
      <w:tr>
        <w:trPr>
          <w:cantSplit/>
        </w:trPr>
        <w:tc>
          <w:tcPr>
            <w:tcW w:type="dxa" w:w="201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未选择文本</w:t>
            </w:r>
          </w:p>
        </w:tc>
        <w:tc>
          <w:tcPr>
            <w:tcW w:type="dxa" w:w="70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生成本章骨架、继续写、扩写当前场景、检查前后衔接</w:t>
            </w:r>
          </w:p>
        </w:tc>
      </w:tr>
      <w:tr>
        <w:trPr>
          <w:cantSplit/>
        </w:trPr>
        <w:tc>
          <w:tcPr>
            <w:tcW w:type="dxa" w:w="201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选择单段</w:t>
            </w:r>
          </w:p>
        </w:tc>
        <w:tc>
          <w:tcPr>
            <w:tcW w:type="dxa" w:w="705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重写、精简、增强动作、调整语气、生成三个方案</w:t>
            </w:r>
          </w:p>
        </w:tc>
      </w:tr>
      <w:tr>
        <w:trPr>
          <w:cantSplit/>
        </w:trPr>
        <w:tc>
          <w:tcPr>
            <w:tcW w:type="dxa" w:w="201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选择多个场景</w:t>
            </w:r>
          </w:p>
        </w:tc>
        <w:tc>
          <w:tcPr>
            <w:tcW w:type="dxa" w:w="70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融合、调整节奏、补过渡、检查冲突升级</w:t>
            </w:r>
          </w:p>
        </w:tc>
      </w:tr>
      <w:tr>
        <w:trPr>
          <w:cantSplit/>
        </w:trPr>
        <w:tc>
          <w:tcPr>
            <w:tcW w:type="dxa" w:w="201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对话段落</w:t>
            </w:r>
          </w:p>
        </w:tc>
        <w:tc>
          <w:tcPr>
            <w:tcW w:type="dxa" w:w="705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区分角色声音、增强潜台词、减少书面表达</w:t>
            </w:r>
          </w:p>
        </w:tc>
      </w:tr>
      <w:tr>
        <w:trPr>
          <w:cantSplit/>
        </w:trPr>
        <w:tc>
          <w:tcPr>
            <w:tcW w:type="dxa" w:w="201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校验问题</w:t>
            </w:r>
          </w:p>
        </w:tc>
        <w:tc>
          <w:tcPr>
            <w:tcW w:type="dxa" w:w="705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解释问题、提出修复方案、仅重写问题范围</w:t>
            </w:r>
          </w:p>
        </w:tc>
      </w:tr>
    </w:tbl>
    <w:p>
      <w:r>
        <w:rPr>
          <w:b w:val="0"/>
        </w:rPr>
        <w:t>每次调用前显示目标范围、使用模型和将发送的内容类别。高级参数默认折叠，不要求小白理解温度、上下文和结构化输出等术语。</w:t>
      </w:r>
    </w:p>
    <w:p>
      <w:pPr>
        <w:pStyle w:val="Heading2"/>
      </w:pPr>
      <w:r>
        <w:rPr>
          <w:b w:val="0"/>
        </w:rPr>
        <w:t>11.9 候选稿比较与采用</w:t>
      </w:r>
    </w:p>
    <w:p>
      <w:pPr>
        <w:jc w:val="center"/>
      </w:pPr>
      <w:r>
        <w:drawing>
          <wp:inline xmlns:a="http://schemas.openxmlformats.org/drawingml/2006/main" xmlns:pic="http://schemas.openxmlformats.org/drawingml/2006/picture">
            <wp:extent cx="5943600" cy="3343275"/>
            <wp:docPr id="8" name="Picture 8" descr="左右并排显示当前稿和AI备选稿，差异块可逐段采用或保留。" title="图11-4 当前稿与AI备选稿对比"/>
            <wp:cNvGraphicFramePr>
              <a:graphicFrameLocks noChangeAspect="1"/>
            </wp:cNvGraphicFramePr>
            <a:graphic>
              <a:graphicData uri="http://schemas.openxmlformats.org/drawingml/2006/picture">
                <pic:pic>
                  <pic:nvPicPr>
                    <pic:cNvPr id="0" name="04_candidate_compare.png"/>
                    <pic:cNvPicPr/>
                  </pic:nvPicPr>
                  <pic:blipFill>
                    <a:blip r:embed="rId17"/>
                    <a:stretch>
                      <a:fillRect/>
                    </a:stretch>
                  </pic:blipFill>
                  <pic:spPr>
                    <a:xfrm>
                      <a:off x="0" y="0"/>
                      <a:ext cx="5943600" cy="3343275"/>
                    </a:xfrm>
                    <a:prstGeom prst="rect"/>
                  </pic:spPr>
                </pic:pic>
              </a:graphicData>
            </a:graphic>
          </wp:inline>
        </w:drawing>
      </w:r>
    </w:p>
    <w:p>
      <w:pPr>
        <w:jc w:val="center"/>
      </w:pPr>
      <w:r>
        <w:rPr>
          <w:b w:val="0"/>
          <w:i/>
          <w:color w:val="687386"/>
          <w:sz w:val="18"/>
        </w:rPr>
        <w:t>图11-4 当前稿与AI备选稿对比</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194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能力</w:t>
            </w:r>
          </w:p>
        </w:tc>
        <w:tc>
          <w:tcPr>
            <w:tcW w:type="dxa" w:w="7128"/>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交互要求</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比较方式</w:t>
            </w:r>
          </w:p>
        </w:tc>
        <w:tc>
          <w:tcPr>
            <w:tcW w:type="dxa" w:w="71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支持并排、只看差异和单稿全屏三种视图</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差异高亮</w:t>
            </w:r>
          </w:p>
        </w:tc>
        <w:tc>
          <w:tcPr>
            <w:tcW w:type="dxa" w:w="71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新增、删除、改写使用不同但低刺激的颜色</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采用粒度</w:t>
            </w:r>
          </w:p>
        </w:tc>
        <w:tc>
          <w:tcPr>
            <w:tcW w:type="dxa" w:w="71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整稿、场景、段落和单个文本块</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来源保留</w:t>
            </w:r>
          </w:p>
        </w:tc>
        <w:tc>
          <w:tcPr>
            <w:tcW w:type="dxa" w:w="71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采用后记录Candidate、GenerationRun和原始逻辑块来源</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安全保护</w:t>
            </w:r>
          </w:p>
        </w:tc>
        <w:tc>
          <w:tcPr>
            <w:tcW w:type="dxa" w:w="71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锁定块不可被候选替换；接受前再次检查Draft Revision</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撤销</w:t>
            </w:r>
          </w:p>
        </w:tc>
        <w:tc>
          <w:tcPr>
            <w:tcW w:type="dxa" w:w="71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采用后提供短时撤销，并可从历史版本恢复</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小白提示</w:t>
            </w:r>
          </w:p>
        </w:tc>
        <w:tc>
          <w:tcPr>
            <w:tcW w:type="dxa" w:w="71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使用“当前稿/AI备选稿/采用这一段”，不显示内部ID</w:t>
            </w:r>
          </w:p>
        </w:tc>
      </w:tr>
      <w:tr>
        <w:tc>
          <w:tcPr>
            <w:tcW w:type="dxa" w:w="4819"/>
            <w:vAlign w:val="center"/>
          </w:tcPr>
          <w:p>
            <w:pPr>
              <w:spacing w:after="0"/>
            </w:pPr>
            <w:r/>
            <w:r>
              <w:rPr>
                <w:b w:val="0"/>
              </w:rPr>
              <w:t>长章节审阅</w:t>
            </w:r>
          </w:p>
        </w:tc>
        <w:tc>
          <w:tcPr>
            <w:tcW w:type="dxa" w:w="4819"/>
            <w:vAlign w:val="center"/>
          </w:tcPr>
          <w:p>
            <w:pPr>
              <w:spacing w:after="0"/>
            </w:pPr>
            <w:r/>
            <w:r>
              <w:rPr>
                <w:b w:val="0"/>
              </w:rPr>
              <w:t>提供全屏双栏、单稿阅读、场景目录和“只看变化”；未改段落可折叠</w:t>
            </w:r>
          </w:p>
        </w:tc>
      </w:tr>
      <w:tr>
        <w:tc>
          <w:tcPr>
            <w:tcW w:type="dxa" w:w="4819"/>
            <w:vAlign w:val="center"/>
          </w:tcPr>
          <w:p>
            <w:pPr>
              <w:spacing w:after="0"/>
            </w:pPr>
            <w:r/>
            <w:r>
              <w:rPr>
                <w:b w:val="0"/>
              </w:rPr>
              <w:t>滚动行为</w:t>
            </w:r>
          </w:p>
        </w:tc>
        <w:tc>
          <w:tcPr>
            <w:tcW w:type="dxa" w:w="4819"/>
            <w:vAlign w:val="center"/>
          </w:tcPr>
          <w:p>
            <w:pPr>
              <w:spacing w:after="0"/>
            </w:pPr>
            <w:r/>
            <w:r>
              <w:rPr>
                <w:b w:val="0"/>
              </w:rPr>
              <w:t>双栏默认同步滚动；可临时解除；重新绑定时按场景或逻辑块定位</w:t>
            </w:r>
          </w:p>
        </w:tc>
      </w:tr>
      <w:tr>
        <w:tc>
          <w:tcPr>
            <w:tcW w:type="dxa" w:w="4819"/>
            <w:vAlign w:val="center"/>
          </w:tcPr>
          <w:p>
            <w:pPr>
              <w:spacing w:after="0"/>
            </w:pPr>
            <w:r/>
            <w:r>
              <w:rPr>
                <w:b w:val="0"/>
              </w:rPr>
              <w:t>采用回退</w:t>
            </w:r>
          </w:p>
        </w:tc>
        <w:tc>
          <w:tcPr>
            <w:tcW w:type="dxa" w:w="4819"/>
            <w:vAlign w:val="center"/>
          </w:tcPr>
          <w:p>
            <w:pPr>
              <w:spacing w:after="0"/>
            </w:pPr>
            <w:r/>
            <w:r>
              <w:rPr>
                <w:b w:val="0"/>
              </w:rPr>
              <w:t>每次采用记录applyTransactionId；Ctrl/Cmd+Z撤销整个采用事务；Candidate仍保留</w:t>
            </w:r>
          </w:p>
        </w:tc>
      </w:tr>
      <w:tr>
        <w:tc>
          <w:tcPr>
            <w:tcW w:type="dxa" w:w="4819"/>
            <w:vAlign w:val="center"/>
          </w:tcPr>
          <w:p>
            <w:pPr>
              <w:spacing w:after="0"/>
            </w:pPr>
            <w:r/>
            <w:r>
              <w:rPr>
                <w:b w:val="0"/>
              </w:rPr>
              <w:t>窄屏适配</w:t>
            </w:r>
          </w:p>
        </w:tc>
        <w:tc>
          <w:tcPr>
            <w:tcW w:type="dxa" w:w="4819"/>
            <w:vAlign w:val="center"/>
          </w:tcPr>
          <w:p>
            <w:pPr>
              <w:spacing w:after="0"/>
            </w:pPr>
            <w:r/>
            <w:r>
              <w:rPr>
                <w:b w:val="0"/>
              </w:rPr>
              <w:t>13寸或可用宽度不足时改为上下对照或单稿切换，不强制压缩双栏</w:t>
            </w:r>
          </w:p>
        </w:tc>
      </w:tr>
    </w:tbl>
    <w:p>
      <w:pPr>
        <w:pStyle w:val="Heading2"/>
      </w:pPr>
      <w:r>
        <w:rPr>
          <w:b w:val="0"/>
        </w:rPr>
        <w:t>11.10 Revision冲突处理</w:t>
      </w:r>
    </w:p>
    <w:p>
      <w:r>
        <w:rPr>
          <w:b w:val="0"/>
        </w:rPr>
        <w:t>作者在AI生成期间继续编辑是正常行为。候选接受时若当前稿已变化，系统先自动合并无冲突块，只把真正冲突部分交给作者选择。</w:t>
      </w:r>
    </w:p>
    <w:p>
      <w:pPr>
        <w:jc w:val="center"/>
      </w:pPr>
      <w:r>
        <w:drawing>
          <wp:inline xmlns:a="http://schemas.openxmlformats.org/drawingml/2006/main" xmlns:pic="http://schemas.openxmlformats.org/drawingml/2006/picture">
            <wp:extent cx="5943600" cy="3343275"/>
            <wp:docPr id="9" name="Picture 9" descr="冲突对话框并排显示当前稿和AI备选稿，仅要求处理两个冲突块。" title="图11-5 Revision冲突解决"/>
            <wp:cNvGraphicFramePr>
              <a:graphicFrameLocks noChangeAspect="1"/>
            </wp:cNvGraphicFramePr>
            <a:graphic>
              <a:graphicData uri="http://schemas.openxmlformats.org/drawingml/2006/picture">
                <pic:pic>
                  <pic:nvPicPr>
                    <pic:cNvPr id="0" name="06_conflict_resolution.png"/>
                    <pic:cNvPicPr/>
                  </pic:nvPicPr>
                  <pic:blipFill>
                    <a:blip r:embed="rId18"/>
                    <a:stretch>
                      <a:fillRect/>
                    </a:stretch>
                  </pic:blipFill>
                  <pic:spPr>
                    <a:xfrm>
                      <a:off x="0" y="0"/>
                      <a:ext cx="5943600" cy="3343275"/>
                    </a:xfrm>
                    <a:prstGeom prst="rect"/>
                  </pic:spPr>
                </pic:pic>
              </a:graphicData>
            </a:graphic>
          </wp:inline>
        </w:drawing>
      </w:r>
    </w:p>
    <w:p>
      <w:pPr>
        <w:jc w:val="center"/>
      </w:pPr>
      <w:r>
        <w:rPr>
          <w:b w:val="0"/>
          <w:i/>
          <w:color w:val="687386"/>
          <w:sz w:val="18"/>
        </w:rPr>
        <w:t>图11-5 Revision冲突解决</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1872"/>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情况</w:t>
            </w:r>
          </w:p>
        </w:tc>
        <w:tc>
          <w:tcPr>
            <w:tcW w:type="dxa" w:w="720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界面行为</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无冲突</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直接应用选中内容，并显示修改摘要</w:t>
            </w:r>
          </w:p>
        </w:tc>
      </w:tr>
      <w:tr>
        <w:trPr>
          <w:cantSplit/>
        </w:trPr>
        <w:tc>
          <w:tcPr>
            <w:tcW w:type="dxa" w:w="18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部分冲突</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自动合并无冲突块，逐块显示当前稿和备选稿</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锁定冲突</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禁止采用，说明锁定原因并定位原文</w:t>
            </w:r>
          </w:p>
        </w:tc>
      </w:tr>
      <w:tr>
        <w:trPr>
          <w:cantSplit/>
        </w:trPr>
        <w:tc>
          <w:tcPr>
            <w:tcW w:type="dxa" w:w="18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候选过期</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提示基于较旧正文生成，可查看但不能一键全量采用</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取消处理</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不写入任何修改，保留候选供稍后处理</w:t>
            </w:r>
          </w:p>
        </w:tc>
      </w:tr>
    </w:tbl>
    <w:p>
      <w:pPr>
        <w:pStyle w:val="Heading2"/>
      </w:pPr>
      <w:r>
        <w:rPr>
          <w:b w:val="0"/>
        </w:rPr>
        <w:t>11.11 连续性与状态确认</w:t>
      </w:r>
    </w:p>
    <w:p>
      <w:r>
        <w:rPr>
          <w:b w:val="0"/>
        </w:rPr>
        <w:t>连续性界面以“变化”为中心，不要求作者维护完整数据库。定稿后只展示AI识别到的动态状态变化及正文证据。</w:t>
      </w:r>
    </w:p>
    <w:p>
      <w:pPr>
        <w:jc w:val="center"/>
      </w:pPr>
      <w:r>
        <w:drawing>
          <wp:inline xmlns:a="http://schemas.openxmlformats.org/drawingml/2006/main" xmlns:pic="http://schemas.openxmlformats.org/drawingml/2006/picture">
            <wp:extent cx="5943600" cy="3343275"/>
            <wp:docPr id="10" name="Picture 10" descr="三条状态变化卡片，包含旧值、新值、正文证据、置信度和接受修改拒绝按钮。" title="图11-6 本章结束状态提案"/>
            <wp:cNvGraphicFramePr>
              <a:graphicFrameLocks noChangeAspect="1"/>
            </wp:cNvGraphicFramePr>
            <a:graphic>
              <a:graphicData uri="http://schemas.openxmlformats.org/drawingml/2006/picture">
                <pic:pic>
                  <pic:nvPicPr>
                    <pic:cNvPr id="0" name="05_state_proposals.png"/>
                    <pic:cNvPicPr/>
                  </pic:nvPicPr>
                  <pic:blipFill>
                    <a:blip r:embed="rId19"/>
                    <a:stretch>
                      <a:fillRect/>
                    </a:stretch>
                  </pic:blipFill>
                  <pic:spPr>
                    <a:xfrm>
                      <a:off x="0" y="0"/>
                      <a:ext cx="5943600" cy="3343275"/>
                    </a:xfrm>
                    <a:prstGeom prst="rect"/>
                  </pic:spPr>
                </pic:pic>
              </a:graphicData>
            </a:graphic>
          </wp:inline>
        </w:drawing>
      </w:r>
    </w:p>
    <w:p>
      <w:pPr>
        <w:jc w:val="center"/>
      </w:pPr>
      <w:r>
        <w:rPr>
          <w:b w:val="0"/>
          <w:i/>
          <w:color w:val="687386"/>
          <w:sz w:val="18"/>
        </w:rPr>
        <w:t>图11-6 本章结束状态提案</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2088"/>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页面</w:t>
            </w:r>
          </w:p>
        </w:tc>
        <w:tc>
          <w:tcPr>
            <w:tcW w:type="dxa" w:w="698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核心交互</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本章结束状态</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逐条接受、修改、拒绝；支持全部接受低风险项</w:t>
            </w:r>
          </w:p>
        </w:tc>
      </w:tr>
      <w:tr>
        <w:trPr>
          <w:cantSplit/>
        </w:trPr>
        <w:tc>
          <w:tcPr>
            <w:tcW w:type="dxa" w:w="20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时间线</w:t>
            </w:r>
          </w:p>
        </w:tc>
        <w:tc>
          <w:tcPr>
            <w:tcW w:type="dxa" w:w="69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横向或列表显示事件顺序；冲突定位到相关章节</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谁知道什么</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按重要信息查看人物知情、怀疑、误解和未知</w:t>
            </w:r>
          </w:p>
        </w:tc>
      </w:tr>
      <w:tr>
        <w:trPr>
          <w:cantSplit/>
        </w:trPr>
        <w:tc>
          <w:tcPr>
            <w:tcW w:type="dxa" w:w="20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伏笔</w:t>
            </w:r>
          </w:p>
        </w:tc>
        <w:tc>
          <w:tcPr>
            <w:tcW w:type="dxa" w:w="69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按待埋设、已埋设、待回收、已揭示筛选</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历史返修影响</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列出stale快照和校验，不自动修改后续正文</w:t>
            </w:r>
          </w:p>
        </w:tc>
      </w:tr>
    </w:tbl>
    <w:p>
      <w:pPr>
        <w:pStyle w:val="Heading2"/>
      </w:pPr>
      <w:r>
        <w:rPr>
          <w:b w:val="0"/>
        </w:rPr>
        <w:t>11.12 检查与导出工作台</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2088"/>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区域</w:t>
            </w:r>
          </w:p>
        </w:tc>
        <w:tc>
          <w:tcPr>
            <w:tcW w:type="dxa" w:w="698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功能</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问题摘要</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按高风险、建议和已忽略分组；默认不按算法分数排序文学质量</w:t>
            </w:r>
          </w:p>
        </w:tc>
      </w:tr>
      <w:tr>
        <w:trPr>
          <w:cantSplit/>
        </w:trPr>
        <w:tc>
          <w:tcPr>
            <w:tcW w:type="dxa" w:w="20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正文定位</w:t>
            </w:r>
          </w:p>
        </w:tc>
        <w:tc>
          <w:tcPr>
            <w:tcW w:type="dxa" w:w="69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点击问题后打开对应章节并高亮文本锚点</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修订检查表</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结构、人物、连续性、场景、语言和校对六类勾选项</w:t>
            </w:r>
          </w:p>
        </w:tc>
      </w:tr>
      <w:tr>
        <w:trPr>
          <w:cantSplit/>
        </w:trPr>
        <w:tc>
          <w:tcPr>
            <w:tcW w:type="dxa" w:w="20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历史版本</w:t>
            </w:r>
          </w:p>
        </w:tc>
        <w:tc>
          <w:tcPr>
            <w:tcW w:type="dxa" w:w="69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时间线式查看定稿、手动版本和AI候选来源</w:t>
            </w:r>
          </w:p>
        </w:tc>
      </w:tr>
      <w:tr>
        <w:trPr>
          <w:cantSplit/>
        </w:trPr>
        <w:tc>
          <w:tcPr>
            <w:tcW w:type="dxa" w:w="208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导出</w:t>
            </w:r>
          </w:p>
        </w:tc>
        <w:tc>
          <w:tcPr>
            <w:tcW w:type="dxa" w:w="698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选择范围、版本和格式，导出前显示字数与缺失章节</w:t>
            </w:r>
          </w:p>
        </w:tc>
      </w:tr>
      <w:tr>
        <w:trPr>
          <w:cantSplit/>
        </w:trPr>
        <w:tc>
          <w:tcPr>
            <w:tcW w:type="dxa" w:w="208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备份</w:t>
            </w:r>
          </w:p>
        </w:tc>
        <w:tc>
          <w:tcPr>
            <w:tcW w:type="dxa" w:w="698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显示最近备份时间，允许一键创建本地项目备份</w:t>
            </w:r>
          </w:p>
        </w:tc>
      </w:tr>
    </w:tbl>
    <w:p>
      <w:pPr>
        <w:pStyle w:val="Heading2"/>
      </w:pPr>
      <w:r>
        <w:rPr>
          <w:b w:val="0"/>
        </w:rPr>
        <w:t>11.13 空状态、加载状态与错误状态</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1872"/>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状态</w:t>
            </w:r>
          </w:p>
        </w:tc>
        <w:tc>
          <w:tcPr>
            <w:tcW w:type="dxa" w:w="720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界面要求</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空项目</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显示“创建第一章”“导入正文”“从想法开始”三个入口</w:t>
            </w:r>
          </w:p>
        </w:tc>
      </w:tr>
      <w:tr>
        <w:trPr>
          <w:cantSplit/>
        </w:trPr>
        <w:tc>
          <w:tcPr>
            <w:tcW w:type="dxa" w:w="18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空章节</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提供直接写作、生成骨架和添加场景三种选择</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模型未配置</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正文仍可编辑；AI区域显示连接说明而非阻断页面</w:t>
            </w:r>
          </w:p>
        </w:tc>
      </w:tr>
      <w:tr>
        <w:trPr>
          <w:cantSplit/>
        </w:trPr>
        <w:tc>
          <w:tcPr>
            <w:tcW w:type="dxa" w:w="18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生成中</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流式显示、可取消、显示已用时间；不锁死编辑器</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生成失败</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保留已完成部分，显示可理解原因和重试按钮</w:t>
            </w:r>
          </w:p>
        </w:tc>
      </w:tr>
      <w:tr>
        <w:trPr>
          <w:cantSplit/>
        </w:trPr>
        <w:tc>
          <w:tcPr>
            <w:tcW w:type="dxa" w:w="18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保存中</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使用顶部小状态，不弹窗；失败时转为明显但非模态警告</w:t>
            </w:r>
          </w:p>
        </w:tc>
      </w:tr>
      <w:tr>
        <w:trPr>
          <w:cantSplit/>
        </w:trPr>
        <w:tc>
          <w:tcPr>
            <w:tcW w:type="dxa" w:w="187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离线</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本地编辑、搜索、版本和导出继续可用</w:t>
            </w:r>
          </w:p>
        </w:tc>
      </w:tr>
      <w:tr>
        <w:trPr>
          <w:cantSplit/>
        </w:trPr>
        <w:tc>
          <w:tcPr>
            <w:tcW w:type="dxa" w:w="187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项目损坏</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只读打开并提供完整性检查、备份恢复和导出救援路径</w:t>
            </w:r>
          </w:p>
        </w:tc>
      </w:tr>
    </w:tbl>
    <w:p>
      <w:pPr>
        <w:pStyle w:val="Heading2"/>
      </w:pPr>
      <w:r>
        <w:rPr>
          <w:b w:val="0"/>
        </w:rPr>
        <w:t>11.14 视觉规范</w:t>
      </w:r>
    </w:p>
    <w:p>
      <w:pPr/>
      <w:r>
        <w:t>本节规定基础视觉参数；完整视觉语言、页面美感、动效与高保真原型要求见第19章。</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94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类别</w:t>
            </w:r>
          </w:p>
        </w:tc>
        <w:tc>
          <w:tcPr>
            <w:tcW w:type="dxa" w:w="3528"/>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浅色模式</w:t>
            </w:r>
          </w:p>
        </w:tc>
        <w:tc>
          <w:tcPr>
            <w:tcW w:type="dxa" w:w="3528"/>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深色模式</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主背景</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#F6F7F9</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#171A21</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内容面板</w:t>
            </w:r>
          </w:p>
        </w:tc>
        <w:tc>
          <w:tcPr>
            <w:tcW w:type="dxa" w:w="35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#FFFFFF</w:t>
            </w:r>
          </w:p>
        </w:tc>
        <w:tc>
          <w:tcPr>
            <w:tcW w:type="dxa" w:w="35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#20242D</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主文字</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#1D2433</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#F3F5F8</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次文字</w:t>
            </w:r>
          </w:p>
        </w:tc>
        <w:tc>
          <w:tcPr>
            <w:tcW w:type="dxa" w:w="35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#687386</w:t>
            </w:r>
          </w:p>
        </w:tc>
        <w:tc>
          <w:tcPr>
            <w:tcW w:type="dxa" w:w="35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#AAB2C0</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主强调</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#3B6FF5</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#6F92FF</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成功</w:t>
            </w:r>
          </w:p>
        </w:tc>
        <w:tc>
          <w:tcPr>
            <w:tcW w:type="dxa" w:w="35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#2FA36B</w:t>
            </w:r>
          </w:p>
        </w:tc>
        <w:tc>
          <w:tcPr>
            <w:tcW w:type="dxa" w:w="35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#4FC58B</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警告</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#E58A2C</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#F2A84C</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危险</w:t>
            </w:r>
          </w:p>
        </w:tc>
        <w:tc>
          <w:tcPr>
            <w:tcW w:type="dxa" w:w="35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#D94A4A</w:t>
            </w:r>
          </w:p>
        </w:tc>
        <w:tc>
          <w:tcPr>
            <w:tcW w:type="dxa" w:w="3528"/>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#F06B6B</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分隔线</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#D9DEE7</w:t>
            </w:r>
          </w:p>
        </w:tc>
        <w:tc>
          <w:tcPr>
            <w:tcW w:type="dxa" w:w="3528"/>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#343A46</w:t>
            </w:r>
          </w:p>
        </w:tc>
      </w:tr>
    </w:tbl>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194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项目</w:t>
            </w:r>
          </w:p>
        </w:tc>
        <w:tc>
          <w:tcPr>
            <w:tcW w:type="dxa" w:w="720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规范</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字体</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界面使用系统无衬线字体；正文允许作者选择宋体、黑体或自定义本机字体</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字号</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界面正文14px，辅助文字12px，标题18-24px；编辑器正文默认18px</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间距</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采用4px基础单位；常用间距8/12/16/24px</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圆角</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按钮8px、输入框8px、卡片12px、对话框16px</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阴影</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仅用于浮层和模态框，主页面不使用大面积重阴影</w:t>
            </w:r>
          </w:p>
        </w:tc>
      </w:tr>
      <w:tr>
        <w:trPr>
          <w:cantSplit/>
        </w:trPr>
        <w:tc>
          <w:tcPr>
            <w:tcW w:type="dxa" w:w="194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图标</w:t>
            </w:r>
          </w:p>
        </w:tc>
        <w:tc>
          <w:tcPr>
            <w:tcW w:type="dxa" w:w="72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Lucide线性图标；必须同时提供Tooltip，不能只靠图标表达高风险动作</w:t>
            </w:r>
          </w:p>
        </w:tc>
      </w:tr>
      <w:tr>
        <w:trPr>
          <w:cantSplit/>
        </w:trPr>
        <w:tc>
          <w:tcPr>
            <w:tcW w:type="dxa" w:w="194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来源标记</w:t>
            </w:r>
          </w:p>
        </w:tc>
        <w:tc>
          <w:tcPr>
            <w:tcW w:type="dxa" w:w="72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使用左侧细线或小徽标，不用大面积蓝底污染阅读</w:t>
            </w:r>
          </w:p>
        </w:tc>
      </w:tr>
    </w:tbl>
    <w:p>
      <w:pPr>
        <w:pStyle w:val="Heading2"/>
      </w:pPr>
      <w:r>
        <w:rPr>
          <w:b w:val="0"/>
        </w:rPr>
        <w:t>11.15 组件与前端技术选型</w:t>
      </w:r>
    </w:p>
    <w:tbl>
      <w:tblPr>
        <w:tblW w:type="auto" w:w="0"/>
        <w:jc w:val="center"/>
        <w:tblLayout w:type="autofit"/>
        <w:tblLook w:firstColumn="1" w:firstRow="1" w:lastColumn="0" w:lastRow="0" w:noHBand="0" w:noVBand="1" w:val="04A0"/>
      </w:tblPr>
      <w:tblGrid>
        <w:gridCol w:w="3213"/>
        <w:gridCol w:w="3213"/>
        <w:gridCol w:w="3213"/>
      </w:tblGrid>
      <w:tr>
        <w:trPr>
          <w:tblHeader/>
          <w:cantSplit/>
          <w:tblHeader w:val="true"/>
        </w:trPr>
        <w:tc>
          <w:tcPr>
            <w:tcW w:type="dxa" w:w="180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领域</w:t>
            </w:r>
          </w:p>
        </w:tc>
        <w:tc>
          <w:tcPr>
            <w:tcW w:type="dxa" w:w="3024"/>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选型</w:t>
            </w:r>
          </w:p>
        </w:tc>
        <w:tc>
          <w:tcPr>
            <w:tcW w:type="dxa" w:w="432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理由</w:t>
            </w:r>
          </w:p>
        </w:tc>
      </w:tr>
      <w:tr>
        <w:trPr>
          <w:cantSplit/>
        </w:trPr>
        <w:tc>
          <w:tcPr>
            <w:tcW w:type="dxa" w:w="18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基础组件</w:t>
            </w:r>
          </w:p>
        </w:tc>
        <w:tc>
          <w:tcPr>
            <w:tcW w:type="dxa" w:w="302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Radix UI Primitives</w:t>
            </w:r>
          </w:p>
        </w:tc>
        <w:tc>
          <w:tcPr>
            <w:tcW w:type="dxa" w:w="43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提供可访问的对话框、菜单、标签页、Tooltip和焦点管理</w:t>
            </w:r>
          </w:p>
        </w:tc>
      </w:tr>
      <w:tr>
        <w:trPr>
          <w:cantSplit/>
        </w:trPr>
        <w:tc>
          <w:tcPr>
            <w:tcW w:type="dxa" w:w="18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样式系统</w:t>
            </w:r>
          </w:p>
        </w:tc>
        <w:tc>
          <w:tcPr>
            <w:tcW w:type="dxa" w:w="302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Tailwind CSS + CSS Variables</w:t>
            </w:r>
          </w:p>
        </w:tc>
        <w:tc>
          <w:tcPr>
            <w:tcW w:type="dxa" w:w="43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快速实现布局；颜色、字号和间距由语义Token控制</w:t>
            </w:r>
          </w:p>
        </w:tc>
      </w:tr>
      <w:tr>
        <w:trPr>
          <w:cantSplit/>
        </w:trPr>
        <w:tc>
          <w:tcPr>
            <w:tcW w:type="dxa" w:w="18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图标</w:t>
            </w:r>
          </w:p>
        </w:tc>
        <w:tc>
          <w:tcPr>
            <w:tcW w:type="dxa" w:w="302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Lucide React</w:t>
            </w:r>
          </w:p>
        </w:tc>
        <w:tc>
          <w:tcPr>
            <w:tcW w:type="dxa" w:w="43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风格统一、体积可控、语义清晰</w:t>
            </w:r>
          </w:p>
        </w:tc>
      </w:tr>
      <w:tr>
        <w:trPr>
          <w:cantSplit/>
        </w:trPr>
        <w:tc>
          <w:tcPr>
            <w:tcW w:type="dxa" w:w="18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编辑器</w:t>
            </w:r>
          </w:p>
        </w:tc>
        <w:tc>
          <w:tcPr>
            <w:tcW w:type="dxa" w:w="302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Tiptap + ProseMirror</w:t>
            </w:r>
          </w:p>
        </w:tc>
        <w:tc>
          <w:tcPr>
            <w:tcW w:type="dxa" w:w="43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支持结构化节点、事务、选区、锁定拦截和扩展命令</w:t>
            </w:r>
          </w:p>
        </w:tc>
      </w:tr>
      <w:tr>
        <w:trPr>
          <w:cantSplit/>
        </w:trPr>
        <w:tc>
          <w:tcPr>
            <w:tcW w:type="dxa" w:w="18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状态管理</w:t>
            </w:r>
          </w:p>
        </w:tc>
        <w:tc>
          <w:tcPr>
            <w:tcW w:type="dxa" w:w="302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Zustand</w:t>
            </w:r>
          </w:p>
        </w:tc>
        <w:tc>
          <w:tcPr>
            <w:tcW w:type="dxa" w:w="43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保存界面状态和当前选择；业务权威数据仍由Core返回</w:t>
            </w:r>
          </w:p>
        </w:tc>
      </w:tr>
      <w:tr>
        <w:trPr>
          <w:cantSplit/>
        </w:trPr>
        <w:tc>
          <w:tcPr>
            <w:tcW w:type="dxa" w:w="180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长列表</w:t>
            </w:r>
          </w:p>
        </w:tc>
        <w:tc>
          <w:tcPr>
            <w:tcW w:type="dxa" w:w="302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TanStack Virtual（按需）</w:t>
            </w:r>
          </w:p>
        </w:tc>
        <w:tc>
          <w:tcPr>
            <w:tcW w:type="dxa" w:w="43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仅在章节、版本或搜索结果出现明显性能问题时启用</w:t>
            </w:r>
          </w:p>
        </w:tc>
      </w:tr>
      <w:tr>
        <w:trPr>
          <w:cantSplit/>
        </w:trPr>
        <w:tc>
          <w:tcPr>
            <w:tcW w:type="dxa" w:w="180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拖拽</w:t>
            </w:r>
          </w:p>
        </w:tc>
        <w:tc>
          <w:tcPr>
            <w:tcW w:type="dxa" w:w="302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dnd-kit</w:t>
            </w:r>
          </w:p>
        </w:tc>
        <w:tc>
          <w:tcPr>
            <w:tcW w:type="dxa" w:w="43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用于大纲和场景卡排序；必须提供键盘替代操作</w:t>
            </w:r>
          </w:p>
        </w:tc>
      </w:tr>
    </w:tbl>
    <w:p>
      <w:r>
        <w:rPr>
          <w:b w:val="0"/>
        </w:rPr>
        <w:t>组件库只解决交互基础，不改变本地数据和AI边界。禁止让UI组件状态成为正文权威数据。</w:t>
      </w:r>
    </w:p>
    <w:p>
      <w:pPr>
        <w:pStyle w:val="Heading2"/>
      </w:pPr>
      <w:r>
        <w:rPr>
          <w:b w:val="0"/>
        </w:rPr>
        <w:t>11.16 快捷键与聚焦模式</w:t>
      </w:r>
    </w:p>
    <w:tbl>
      <w:tblPr>
        <w:tblW w:type="auto" w:w="0"/>
        <w:jc w:val="center"/>
        <w:tblLayout w:type="autofit"/>
        <w:tblLook w:firstColumn="1" w:firstRow="1" w:lastColumn="0" w:lastRow="0" w:noHBand="0" w:noVBand="1" w:val="04A0"/>
      </w:tblPr>
      <w:tblGrid>
        <w:gridCol w:w="4819"/>
        <w:gridCol w:w="4819"/>
      </w:tblGrid>
      <w:tr>
        <w:trPr>
          <w:tblHeader/>
          <w:cantSplit/>
          <w:tblHeader w:val="true"/>
        </w:trPr>
        <w:tc>
          <w:tcPr>
            <w:tcW w:type="dxa" w:w="252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快捷键</w:t>
            </w:r>
          </w:p>
        </w:tc>
        <w:tc>
          <w:tcPr>
            <w:tcW w:type="dxa" w:w="6552"/>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动作</w:t>
            </w:r>
          </w:p>
        </w:tc>
      </w:tr>
      <w:tr>
        <w:trPr>
          <w:cantSplit/>
        </w:trPr>
        <w:tc>
          <w:tcPr>
            <w:tcW w:type="dxa" w:w="25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Ctrl/Cmd + S</w:t>
            </w:r>
          </w:p>
        </w:tc>
        <w:tc>
          <w:tcPr>
            <w:tcW w:type="dxa" w:w="655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立即提交当前Draft事务</w:t>
            </w:r>
          </w:p>
        </w:tc>
      </w:tr>
      <w:tr>
        <w:trPr>
          <w:cantSplit/>
        </w:trPr>
        <w:tc>
          <w:tcPr>
            <w:tcW w:type="dxa" w:w="25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Ctrl/Cmd + K</w:t>
            </w:r>
          </w:p>
        </w:tc>
        <w:tc>
          <w:tcPr>
            <w:tcW w:type="dxa" w:w="655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全局搜索与命令面板</w:t>
            </w:r>
          </w:p>
        </w:tc>
      </w:tr>
      <w:tr>
        <w:trPr>
          <w:cantSplit/>
        </w:trPr>
        <w:tc>
          <w:tcPr>
            <w:tcW w:type="dxa" w:w="25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Ctrl/Cmd + Shift + L</w:t>
            </w:r>
          </w:p>
        </w:tc>
        <w:tc>
          <w:tcPr>
            <w:tcW w:type="dxa" w:w="655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锁定或解锁选中文本块</w:t>
            </w:r>
          </w:p>
        </w:tc>
      </w:tr>
      <w:tr>
        <w:trPr>
          <w:cantSplit/>
        </w:trPr>
        <w:tc>
          <w:tcPr>
            <w:tcW w:type="dxa" w:w="25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Ctrl/Cmd + Enter</w:t>
            </w:r>
          </w:p>
        </w:tc>
        <w:tc>
          <w:tcPr>
            <w:tcW w:type="dxa" w:w="655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打开选区AI操作</w:t>
            </w:r>
          </w:p>
        </w:tc>
      </w:tr>
      <w:tr>
        <w:trPr>
          <w:cantSplit/>
        </w:trPr>
        <w:tc>
          <w:tcPr>
            <w:tcW w:type="dxa" w:w="25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Ctrl/Cmd + Shift + F</w:t>
            </w:r>
          </w:p>
        </w:tc>
        <w:tc>
          <w:tcPr>
            <w:tcW w:type="dxa" w:w="655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进入或退出聚焦模式</w:t>
            </w:r>
          </w:p>
        </w:tc>
      </w:tr>
      <w:tr>
        <w:trPr>
          <w:cantSplit/>
        </w:trPr>
        <w:tc>
          <w:tcPr>
            <w:tcW w:type="dxa" w:w="25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Ctrl/Cmd + Shift + V</w:t>
            </w:r>
          </w:p>
        </w:tc>
        <w:tc>
          <w:tcPr>
            <w:tcW w:type="dxa" w:w="655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打开历史版本</w:t>
            </w:r>
          </w:p>
        </w:tc>
      </w:tr>
      <w:tr>
        <w:trPr>
          <w:cantSplit/>
        </w:trPr>
        <w:tc>
          <w:tcPr>
            <w:tcW w:type="dxa" w:w="252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Alt + ↑ / ↓</w:t>
            </w:r>
          </w:p>
        </w:tc>
        <w:tc>
          <w:tcPr>
            <w:tcW w:type="dxa" w:w="6552"/>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移动当前场景或章节，操作前显示目标位置</w:t>
            </w:r>
          </w:p>
        </w:tc>
      </w:tr>
      <w:tr>
        <w:trPr>
          <w:cantSplit/>
        </w:trPr>
        <w:tc>
          <w:tcPr>
            <w:tcW w:type="dxa" w:w="252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Esc</w:t>
            </w:r>
          </w:p>
        </w:tc>
        <w:tc>
          <w:tcPr>
            <w:tcW w:type="dxa" w:w="6552"/>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关闭浮层、取消未提交选择；不取消正在运行的AI任务</w:t>
            </w:r>
          </w:p>
        </w:tc>
      </w:tr>
    </w:tbl>
    <w:p>
      <w:r>
        <w:rPr>
          <w:b w:val="0"/>
        </w:rPr>
        <w:t>聚焦模式隐藏导航、右侧助手、来源标记和校验提示，只保留正文、字数和保存状态。退出后恢复原布局、滚动位置和选区。</w:t>
      </w:r>
    </w:p>
    <w:p>
      <w:pPr>
        <w:pStyle w:val="Heading2"/>
      </w:pPr>
      <w:r>
        <w:rPr>
          <w:b w:val="0"/>
        </w:rPr>
        <w:t>11.17 无障碍与输入体验</w:t>
      </w:r>
    </w:p>
    <w:p>
      <w:pPr>
        <w:pStyle w:val="ListBullet"/>
      </w:pPr>
      <w:r>
        <w:rPr>
          <w:b w:val="0"/>
        </w:rPr>
        <w:t>所有主要操作可通过键盘完成，焦点顺序与视觉顺序一致。</w:t>
      </w:r>
    </w:p>
    <w:p>
      <w:pPr>
        <w:pStyle w:val="ListBullet"/>
      </w:pPr>
      <w:r>
        <w:rPr>
          <w:b w:val="0"/>
        </w:rPr>
        <w:t>文本与背景对比度满足WCAG AA；错误不得只用颜色表达。</w:t>
      </w:r>
    </w:p>
    <w:p>
      <w:pPr>
        <w:pStyle w:val="ListBullet"/>
      </w:pPr>
      <w:r>
        <w:rPr>
          <w:b w:val="0"/>
        </w:rPr>
        <w:t>对话框打开后焦点进入首个可操作项，关闭后返回触发位置。</w:t>
      </w:r>
    </w:p>
    <w:p>
      <w:pPr>
        <w:pStyle w:val="ListBullet"/>
      </w:pPr>
      <w:r>
        <w:rPr>
          <w:b w:val="0"/>
        </w:rPr>
        <w:t>拖拽排序提供“上移/下移/移至”菜单作为键盘替代。</w:t>
      </w:r>
    </w:p>
    <w:p>
      <w:pPr>
        <w:pStyle w:val="ListBullet"/>
      </w:pPr>
      <w:r>
        <w:rPr>
          <w:b w:val="0"/>
        </w:rPr>
        <w:t>支持界面缩放和编辑器字号独立调整，缩放后不遮挡正文。</w:t>
      </w:r>
    </w:p>
    <w:p>
      <w:pPr>
        <w:pStyle w:val="ListBullet"/>
      </w:pPr>
      <w:r>
        <w:rPr>
          <w:b w:val="0"/>
        </w:rPr>
        <w:t>流式生成、保存完成和错误提示通过ARIA live区域播报，但避免重复播报每个Token。</w:t>
      </w:r>
    </w:p>
    <w:p>
      <w:pPr>
        <w:pStyle w:val="ListBullet"/>
      </w:pPr>
      <w:r>
        <w:rPr>
          <w:b w:val="0"/>
        </w:rPr>
        <w:t>高风险操作使用明确动词，例如“删除章节”“覆盖当前段落”，避免只写“确定”。</w:t>
      </w:r>
    </w:p>
    <w:p>
      <w:pPr>
        <w:pStyle w:val="Heading2"/>
      </w:pPr>
      <w:r>
        <w:rPr>
          <w:b w:val="0"/>
        </w:rPr>
        <w:t>11.18 UI验收标准</w:t>
      </w:r>
    </w:p>
    <w:tbl>
      <w:tblPr>
        <w:tblW w:type="auto" w:w="0"/>
        <w:jc w:val="center"/>
        <w:tblLayout w:type="autofit"/>
        <w:tblLook w:firstColumn="1" w:firstRow="1" w:lastColumn="0" w:lastRow="0" w:noHBand="0" w:noVBand="1" w:val="04A0"/>
      </w:tblPr>
      <w:tblGrid>
        <w:gridCol w:w="4819"/>
        <w:gridCol w:w="4819"/>
      </w:tblGrid>
      <w:tr>
        <w:trPr>
          <w:tblHeader/>
          <w:cantSplit/>
          <w:tblHeader w:val="true"/>
          <w:tblHeader w:val="true"/>
          <w:tblHeader w:val="true"/>
          <w:tblHeader w:val="true"/>
          <w:tblHeader w:val="true"/>
          <w:tblHeader w:val="true"/>
        </w:trPr>
        <w:tc>
          <w:tcPr>
            <w:tcW w:type="dxa" w:w="144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编号</w:t>
            </w:r>
          </w:p>
        </w:tc>
        <w:tc>
          <w:tcPr>
            <w:tcW w:type="dxa" w:w="7560"/>
            <w:vAlign w:val="center"/>
            <w:tcBorders>
              <w:top w:val="single" w:sz="4" w:color="D9DEE7"/>
              <w:left w:val="single" w:sz="4" w:color="D9DEE7"/>
              <w:bottom w:val="single" w:sz="4" w:color="D9DEE7"/>
              <w:right w:val="single" w:sz="4" w:color="D9DEE7"/>
            </w:tcBorders>
            <w:shd w:fill="EAF0FF"/>
            <w:tcMar>
              <w:top w:w="90" w:type="dxa"/>
              <w:start w:w="110" w:type="dxa"/>
              <w:bottom w:w="90" w:type="dxa"/>
              <w:end w:w="110" w:type="dxa"/>
            </w:tcMar>
          </w:tcPr>
          <w:p>
            <w:pPr>
              <w:spacing w:before="40" w:after="0"/>
            </w:pPr>
            <w:r>
              <w:rPr>
                <w:rFonts w:ascii="Noto Sans CJK SC" w:hAnsi="Noto Sans CJK SC" w:eastAsia="Noto Sans CJK SC"/>
                <w:b/>
                <w:color w:val="1F2937"/>
                <w:sz w:val="18"/>
              </w:rPr>
              <w:t>验收标准</w:t>
            </w:r>
          </w:p>
        </w:tc>
      </w:tr>
      <w:tr>
        <w:trPr>
          <w:cantSplit/>
        </w:trPr>
        <w:tc>
          <w:tcPr>
            <w:tcW w:type="dxa" w:w="144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UX-01</w:t>
            </w:r>
          </w:p>
        </w:tc>
        <w:tc>
          <w:tcPr>
            <w:tcW w:type="dxa" w:w="756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首次使用者不阅读帮助文档，可在五分钟内创建项目并进入第一章</w:t>
            </w:r>
          </w:p>
        </w:tc>
      </w:tr>
      <w:tr>
        <w:trPr>
          <w:cantSplit/>
        </w:trPr>
        <w:tc>
          <w:tcPr>
            <w:tcW w:type="dxa" w:w="144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UX-02</w:t>
            </w:r>
          </w:p>
        </w:tc>
        <w:tc>
          <w:tcPr>
            <w:tcW w:type="dxa" w:w="756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专业作者可从空白项目直接新建章节写作，不被任务书、大纲或AI步骤阻断</w:t>
            </w:r>
          </w:p>
        </w:tc>
      </w:tr>
      <w:tr>
        <w:trPr>
          <w:cantSplit/>
        </w:trPr>
        <w:tc>
          <w:tcPr>
            <w:tcW w:type="dxa" w:w="144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UX-03</w:t>
            </w:r>
          </w:p>
        </w:tc>
        <w:tc>
          <w:tcPr>
            <w:tcW w:type="dxa" w:w="756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写作工作台在1280×720窗口下正文可用宽度不低于640px，侧栏可折叠</w:t>
            </w:r>
          </w:p>
        </w:tc>
      </w:tr>
      <w:tr>
        <w:trPr>
          <w:cantSplit/>
        </w:trPr>
        <w:tc>
          <w:tcPr>
            <w:tcW w:type="dxa" w:w="144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UX-04</w:t>
            </w:r>
          </w:p>
        </w:tc>
        <w:tc>
          <w:tcPr>
            <w:tcW w:type="dxa" w:w="756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任何AI生成结果都在采用前可预览；锁定块没有可执行的覆盖入口</w:t>
            </w:r>
          </w:p>
        </w:tc>
      </w:tr>
      <w:tr>
        <w:trPr>
          <w:cantSplit/>
        </w:trPr>
        <w:tc>
          <w:tcPr>
            <w:tcW w:type="dxa" w:w="144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UX-05</w:t>
            </w:r>
          </w:p>
        </w:tc>
        <w:tc>
          <w:tcPr>
            <w:tcW w:type="dxa" w:w="756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Candidate逐段采用、撤销和Revision冲突处理不丢失当前稿</w:t>
            </w:r>
          </w:p>
        </w:tc>
      </w:tr>
      <w:tr>
        <w:trPr>
          <w:cantSplit/>
        </w:trPr>
        <w:tc>
          <w:tcPr>
            <w:tcW w:type="dxa" w:w="144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UX-06</w:t>
            </w:r>
          </w:p>
        </w:tc>
        <w:tc>
          <w:tcPr>
            <w:tcW w:type="dxa" w:w="756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模型未连接或网络中断时，本地编辑、搜索、版本和导出仍可使用</w:t>
            </w:r>
          </w:p>
        </w:tc>
      </w:tr>
      <w:tr>
        <w:trPr>
          <w:cantSplit/>
        </w:trPr>
        <w:tc>
          <w:tcPr>
            <w:tcW w:type="dxa" w:w="144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UX-07</w:t>
            </w:r>
          </w:p>
        </w:tc>
        <w:tc>
          <w:tcPr>
            <w:tcW w:type="dxa" w:w="7560"/>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主要流程可仅使用键盘完成，焦点可见且无键盘陷阱</w:t>
            </w:r>
          </w:p>
        </w:tc>
      </w:tr>
      <w:tr>
        <w:trPr>
          <w:cantSplit/>
        </w:trPr>
        <w:tc>
          <w:tcPr>
            <w:tcW w:type="dxa" w:w="144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UX-08</w:t>
            </w:r>
          </w:p>
        </w:tc>
        <w:tc>
          <w:tcPr>
            <w:tcW w:type="dxa" w:w="7560"/>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界面不直接向新手暴露Revision、logicalBlockId等工程术语</w:t>
            </w:r>
          </w:p>
        </w:tc>
      </w:tr>
      <w:tr>
        <w:trPr>
          <w:cantSplit/>
        </w:trPr>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UX-09</w:t>
            </w:r>
          </w:p>
        </w:tc>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移动已有正文关联的场景卡时必须出现明确选择，默认仅调整规划，不移动正文</w:t>
            </w:r>
          </w:p>
        </w:tc>
      </w:tr>
      <w:tr>
        <w:trPr>
          <w:cantSplit/>
        </w:trPr>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UX-10</w:t>
            </w:r>
          </w:p>
        </w:tc>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导入已有作品必须先预览分章结果，作者可合并、拆分和重命名后再提交</w:t>
            </w:r>
          </w:p>
        </w:tc>
      </w:tr>
      <w:tr>
        <w:trPr>
          <w:cantSplit/>
        </w:trPr>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UX-11</w:t>
            </w:r>
          </w:p>
        </w:tc>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AI运行期间切换章节不丢任务，顶部持续显示状态；取消任务不得修改当前稿</w:t>
            </w:r>
          </w:p>
        </w:tc>
      </w:tr>
      <w:tr>
        <w:trPr>
          <w:cantSplit/>
        </w:trPr>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UX-12</w:t>
            </w:r>
          </w:p>
        </w:tc>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校验默认只突出高风险；作者可按本章或项目静音规则并随时恢复</w:t>
            </w:r>
          </w:p>
        </w:tc>
      </w:tr>
      <w:tr>
        <w:trPr>
          <w:cantSplit/>
        </w:trPr>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UX-13</w:t>
            </w:r>
          </w:p>
        </w:tc>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新手提示、结构模板和下一步建议均可单条、当前项目或全局关闭</w:t>
            </w:r>
          </w:p>
        </w:tc>
      </w:tr>
      <w:tr>
        <w:tc>
          <w:tcPr>
            <w:tcW w:type="dxa" w:w="4819"/>
            <w:vAlign w:val="center"/>
          </w:tcPr>
          <w:p>
            <w:pPr>
              <w:spacing w:after="0"/>
            </w:pPr>
            <w:r/>
            <w:r>
              <w:rPr>
                <w:b w:val="0"/>
              </w:rPr>
              <w:t>UX-19</w:t>
            </w:r>
          </w:p>
        </w:tc>
        <w:tc>
          <w:tcPr>
            <w:tcW w:type="dxa" w:w="4819"/>
            <w:vAlign w:val="center"/>
          </w:tcPr>
          <w:p>
            <w:pPr>
              <w:spacing w:after="0"/>
            </w:pPr>
            <w:r/>
            <w:r>
              <w:rPr>
                <w:b w:val="0"/>
              </w:rPr>
              <w:t>候选采用后，作者可通过Ctrl/Cmd+Z完整撤销本次采用；Candidate和历史记录仍可读取</w:t>
            </w:r>
          </w:p>
        </w:tc>
      </w:tr>
      <w:tr>
        <w:tc>
          <w:tcPr>
            <w:tcW w:type="dxa" w:w="4819"/>
            <w:vAlign w:val="center"/>
          </w:tcPr>
          <w:p>
            <w:pPr>
              <w:spacing w:after="0"/>
            </w:pPr>
            <w:r/>
            <w:r>
              <w:rPr>
                <w:b w:val="0"/>
              </w:rPr>
              <w:t>UX-20</w:t>
            </w:r>
          </w:p>
        </w:tc>
        <w:tc>
          <w:tcPr>
            <w:tcW w:type="dxa" w:w="4819"/>
            <w:vAlign w:val="center"/>
          </w:tcPr>
          <w:p>
            <w:pPr>
              <w:spacing w:after="0"/>
            </w:pPr>
            <w:r/>
            <w:r>
              <w:rPr>
                <w:b w:val="0"/>
              </w:rPr>
              <w:t>5000字以上候选可进入全屏比较，支持场景导航、折叠未修改段落及稳定同步滚动</w:t>
            </w:r>
          </w:p>
        </w:tc>
      </w:tr>
      <w:tr>
        <w:tc>
          <w:tcPr>
            <w:tcW w:type="dxa" w:w="4819"/>
            <w:vAlign w:val="center"/>
          </w:tcPr>
          <w:p>
            <w:pPr>
              <w:spacing w:after="0"/>
            </w:pPr>
            <w:r/>
            <w:r>
              <w:rPr>
                <w:b w:val="0"/>
              </w:rPr>
              <w:t>UX-21</w:t>
            </w:r>
          </w:p>
        </w:tc>
        <w:tc>
          <w:tcPr>
            <w:tcW w:type="dxa" w:w="4819"/>
            <w:vAlign w:val="center"/>
          </w:tcPr>
          <w:p>
            <w:pPr>
              <w:spacing w:after="0"/>
            </w:pPr>
            <w:r/>
            <w:r>
              <w:rPr>
                <w:b w:val="0"/>
              </w:rPr>
              <w:t>锁定块在浅色、深色与高对比主题中均可识别，但不使用持续高亮或大面积底色</w:t>
            </w:r>
          </w:p>
        </w:tc>
      </w:tr>
      <w:tr>
        <w:tc>
          <w:tcPr>
            <w:tcW w:type="dxa" w:w="4819"/>
            <w:vAlign w:val="center"/>
          </w:tcPr>
          <w:p>
            <w:pPr>
              <w:spacing w:after="0"/>
            </w:pPr>
            <w:r/>
            <w:r>
              <w:rPr>
                <w:b w:val="0"/>
              </w:rPr>
              <w:t>UX-22</w:t>
            </w:r>
          </w:p>
        </w:tc>
        <w:tc>
          <w:tcPr>
            <w:tcW w:type="dxa" w:w="4819"/>
            <w:vAlign w:val="center"/>
          </w:tcPr>
          <w:p>
            <w:pPr>
              <w:spacing w:after="0"/>
            </w:pPr>
            <w:r/>
            <w:r>
              <w:rPr>
                <w:b w:val="0"/>
              </w:rPr>
              <w:t>AI任务仅显示真实执行阶段；切换页面后仍可查看状态和取消，失败不得修改Draft</w:t>
            </w:r>
          </w:p>
        </w:tc>
      </w:tr>
      <w:tr>
        <w:tc>
          <w:tcPr>
            <w:tcW w:type="dxa" w:w="4819"/>
            <w:vAlign w:val="center"/>
          </w:tcPr>
          <w:p>
            <w:pPr>
              <w:spacing w:after="0"/>
            </w:pPr>
            <w:r/>
            <w:r>
              <w:rPr>
                <w:b w:val="0"/>
              </w:rPr>
              <w:t>UX-23</w:t>
            </w:r>
          </w:p>
        </w:tc>
        <w:tc>
          <w:tcPr>
            <w:tcW w:type="dxa" w:w="4819"/>
            <w:vAlign w:val="center"/>
          </w:tcPr>
          <w:p>
            <w:pPr>
              <w:spacing w:after="0"/>
            </w:pPr>
            <w:r/>
            <w:r>
              <w:rPr>
                <w:b w:val="0"/>
              </w:rPr>
              <w:t>新手完成核心任务时，界面不暴露GenerationRun、EntityState、Revision、Canon等工程术语</w:t>
            </w:r>
          </w:p>
        </w:tc>
      </w:tr>
      <w:tr>
        <w:tc>
          <w:tcPr>
            <w:tcW w:type="dxa" w:w="4819"/>
            <w:vAlign w:val="center"/>
          </w:tcPr>
          <w:p>
            <w:pPr>
              <w:spacing w:after="0"/>
            </w:pPr>
            <w:r/>
            <w:r>
              <w:rPr>
                <w:b w:val="0"/>
              </w:rPr>
              <w:t>UX-24</w:t>
            </w:r>
          </w:p>
        </w:tc>
        <w:tc>
          <w:tcPr>
            <w:tcW w:type="dxa" w:w="4819"/>
            <w:vAlign w:val="center"/>
          </w:tcPr>
          <w:p>
            <w:pPr>
              <w:spacing w:after="0"/>
            </w:pPr>
            <w:r/>
            <w:r>
              <w:rPr>
                <w:b w:val="0"/>
              </w:rPr>
              <w:t>沉浸写作视图只保留正文、章节标题、保存状态、字数和轻量AI入口，可一键恢复原布局</w:t>
            </w:r>
          </w:p>
        </w:tc>
      </w:tr>
      <w:tr>
        <w:tc>
          <w:tcPr>
            <w:tcW w:type="dxa" w:w="4819"/>
            <w:vAlign w:val="center"/>
          </w:tcPr>
          <w:p>
            <w:pPr>
              <w:spacing w:after="0"/>
            </w:pPr>
            <w:r/>
            <w:r>
              <w:rPr>
                <w:b w:val="0"/>
              </w:rPr>
              <w:t>UX-25</w:t>
            </w:r>
          </w:p>
        </w:tc>
        <w:tc>
          <w:tcPr>
            <w:tcW w:type="dxa" w:w="4819"/>
            <w:vAlign w:val="center"/>
          </w:tcPr>
          <w:p>
            <w:pPr>
              <w:spacing w:after="0"/>
            </w:pPr>
            <w:r/>
            <w:r>
              <w:rPr>
                <w:b w:val="0"/>
              </w:rPr>
              <w:t>场景化AI建议每次最多显示一项，可关闭且不自动执行；关闭后同一上下文不重复出现</w:t>
            </w:r>
          </w:p>
        </w:tc>
      </w:tr>
      <w:tr>
        <w:tc>
          <w:tcPr>
            <w:tcW w:type="dxa" w:w="4819"/>
            <w:vAlign w:val="center"/>
          </w:tcPr>
          <w:p>
            <w:pPr>
              <w:spacing w:after="0"/>
            </w:pPr>
            <w:r/>
            <w:r>
              <w:rPr>
                <w:b w:val="0"/>
              </w:rPr>
              <w:t>UX-26</w:t>
            </w:r>
          </w:p>
        </w:tc>
        <w:tc>
          <w:tcPr>
            <w:tcW w:type="dxa" w:w="4819"/>
            <w:vAlign w:val="center"/>
          </w:tcPr>
          <w:p>
            <w:pPr>
              <w:spacing w:after="0"/>
            </w:pPr>
            <w:r/>
            <w:r>
              <w:rPr>
                <w:b w:val="0"/>
              </w:rPr>
              <w:t>悬停帮助、首次提示和页面帮助均不阻断写作，且可分别永久关闭或重新启用</w:t>
            </w:r>
          </w:p>
        </w:tc>
      </w:tr>
    </w:tbl>
    <w:p>
      <w:pPr>
        <w:pStyle w:val="Heading2"/>
      </w:pPr>
      <w:r>
        <w:t>11.19 快速改写通道</w:t>
      </w:r>
    </w:p>
    <w:p>
      <w:pPr/>
      <w:r>
        <w:t>高频小改动不得强制进入完整候选对比。系统将AI改写分为“快速改写”和“结构性改写”两条路径。</w:t>
      </w:r>
    </w:p>
    <w:tbl>
      <w:tblPr>
        <w:tblW w:type="auto" w:w="0"/>
        <w:tblLook w:firstColumn="1" w:firstRow="1" w:lastColumn="0" w:lastRow="0" w:noHBand="0" w:noVBand="1" w:val="04A0"/>
      </w:tblPr>
      <w:tblGrid>
        <w:gridCol w:w="2409"/>
        <w:gridCol w:w="2409"/>
        <w:gridCol w:w="2409"/>
        <w:gridCol w:w="2409"/>
      </w:tblGrid>
      <w:tr>
        <w:tc>
          <w:tcPr>
            <w:tcW w:type="dxa" w:w="1584"/>
          </w:tcPr>
          <w:p>
            <w:r>
              <w:t>路径</w:t>
            </w:r>
          </w:p>
        </w:tc>
        <w:tc>
          <w:tcPr>
            <w:tcW w:type="dxa" w:w="2592"/>
          </w:tcPr>
          <w:p>
            <w:r>
              <w:t>适用范围</w:t>
            </w:r>
          </w:p>
        </w:tc>
        <w:tc>
          <w:tcPr>
            <w:tcW w:type="dxa" w:w="2448"/>
          </w:tcPr>
          <w:p>
            <w:r>
              <w:t>交互</w:t>
            </w:r>
          </w:p>
        </w:tc>
        <w:tc>
          <w:tcPr>
            <w:tcW w:type="dxa" w:w="3600"/>
          </w:tcPr>
          <w:p>
            <w:r>
              <w:t>数据与安全规则</w:t>
            </w:r>
          </w:p>
        </w:tc>
        <w:trPr>
          <w:tblHeader/>
        </w:trPr>
      </w:tr>
      <w:tr>
        <w:tc>
          <w:tcPr>
            <w:tcW w:type="dxa" w:w="1584"/>
          </w:tcPr>
          <w:p>
            <w:r>
              <w:t>快速改写</w:t>
            </w:r>
          </w:p>
        </w:tc>
        <w:tc>
          <w:tcPr>
            <w:tcW w:type="dxa" w:w="2592"/>
          </w:tcPr>
          <w:p>
            <w:r>
              <w:t>选区不超过一个自然段；不跨场景；预计长度变化不超过原文50%</w:t>
            </w:r>
          </w:p>
        </w:tc>
        <w:tc>
          <w:tcPr>
            <w:tcW w:type="dxa" w:w="2448"/>
          </w:tcPr>
          <w:p>
            <w:r>
              <w:t>原地展示改写结果；用户一次确认即可替换；提供短时撤销与Ctrl+Z</w:t>
            </w:r>
          </w:p>
        </w:tc>
        <w:tc>
          <w:tcPr>
            <w:tcW w:type="dxa" w:w="3600"/>
          </w:tcPr>
          <w:p>
            <w:r>
              <w:t>不得触碰锁定块；应用后标记来源为AI；写入Draft事务与历史；不创建正式Candidate</w:t>
            </w:r>
          </w:p>
        </w:tc>
      </w:tr>
      <w:tr>
        <w:tc>
          <w:tcPr>
            <w:tcW w:type="dxa" w:w="1584"/>
          </w:tcPr>
          <w:p>
            <w:r>
              <w:t>结构性改写</w:t>
            </w:r>
          </w:p>
        </w:tc>
        <w:tc>
          <w:tcPr>
            <w:tcW w:type="dxa" w:w="2592"/>
          </w:tcPr>
          <w:p>
            <w:r>
              <w:t>跨段、跨场景、整章，或明显改变情节结构</w:t>
            </w:r>
          </w:p>
        </w:tc>
        <w:tc>
          <w:tcPr>
            <w:tcW w:type="dxa" w:w="2448"/>
          </w:tcPr>
          <w:p>
            <w:r>
              <w:t>进入完整候选比较、差异高亮和逐块采用</w:t>
            </w:r>
          </w:p>
        </w:tc>
        <w:tc>
          <w:tcPr>
            <w:tcW w:type="dxa" w:w="3600"/>
          </w:tcPr>
          <w:p>
            <w:r>
              <w:t>创建GenerationRun与Candidate；执行Revision、Hash和锁定校验</w:t>
            </w:r>
          </w:p>
        </w:tc>
      </w:tr>
    </w:tbl>
    <w:p>
      <w:pPr>
        <w:pStyle w:val="ListBullet"/>
      </w:pPr>
      <w:r>
        <w:t>快速改写在应用前必须展示替换文本，但不打开独立对比工作台。</w:t>
      </w:r>
    </w:p>
    <w:p>
      <w:pPr>
        <w:pStyle w:val="ListBullet"/>
      </w:pPr>
      <w:r>
        <w:t>快速改写结果在来源模式中可追溯；撤销后恢复原文本及原来源标记。</w:t>
      </w:r>
    </w:p>
    <w:p>
      <w:pPr>
        <w:pStyle w:val="ListBullet"/>
      </w:pPr>
      <w:r>
        <w:t>系统无法可靠判断结构变化时，默认升级为结构性改写，不得静默走快速路径。</w:t>
      </w:r>
    </w:p>
    <w:p>
      <w:pPr>
        <w:pStyle w:val="ListBullet"/>
      </w:pPr>
      <w:r>
        <w:t>用户可在设置中关闭快速改写，强制所有AI修改进入候选流程。</w:t>
      </w:r>
    </w:p>
    <w:p>
      <w:pPr>
        <w:pStyle w:val="Heading2"/>
      </w:pPr>
      <w:r>
        <w:t>11.20 新手轻量写作脚手架</w:t>
      </w:r>
    </w:p>
    <w:p>
      <w:pPr/>
      <w:r>
        <w:t>新手向导允许跳过信息，但不应把缺少结构支撑的用户直接留在空白编辑器。脚手架只在真正开始写作时出现，非阻断且可永久关闭。</w:t>
      </w:r>
    </w:p>
    <w:tbl>
      <w:tblPr>
        <w:tblW w:type="auto" w:w="0"/>
        <w:tblLook w:firstColumn="1" w:firstRow="1" w:lastColumn="0" w:lastRow="0" w:noHBand="0" w:noVBand="1" w:val="04A0"/>
      </w:tblPr>
      <w:tblGrid>
        <w:gridCol w:w="3213"/>
        <w:gridCol w:w="3213"/>
        <w:gridCol w:w="3213"/>
      </w:tblGrid>
      <w:tr>
        <w:tc>
          <w:tcPr>
            <w:tcW w:type="dxa" w:w="2592"/>
          </w:tcPr>
          <w:p>
            <w:r>
              <w:t>进入条件</w:t>
            </w:r>
          </w:p>
        </w:tc>
        <w:tc>
          <w:tcPr>
            <w:tcW w:type="dxa" w:w="4752"/>
          </w:tcPr>
          <w:p>
            <w:r>
              <w:t>编辑器初始状态</w:t>
            </w:r>
          </w:p>
        </w:tc>
        <w:tc>
          <w:tcPr>
            <w:tcW w:type="dxa" w:w="2304"/>
          </w:tcPr>
          <w:p>
            <w:r>
              <w:t>作者控制</w:t>
            </w:r>
          </w:p>
        </w:tc>
        <w:trPr>
          <w:tblHeader/>
        </w:trPr>
      </w:tr>
      <w:tr>
        <w:tc>
          <w:tcPr>
            <w:tcW w:type="dxa" w:w="2592"/>
          </w:tcPr>
          <w:p>
            <w:r>
              <w:t>已完成故事核心和关键人物</w:t>
            </w:r>
          </w:p>
        </w:tc>
        <w:tc>
          <w:tcPr>
            <w:tcW w:type="dxa" w:w="4752"/>
          </w:tcPr>
          <w:p>
            <w:r>
              <w:t>显示本章目标、已有场景卡和推荐起笔动作</w:t>
            </w:r>
          </w:p>
        </w:tc>
        <w:tc>
          <w:tcPr>
            <w:tcW w:type="dxa" w:w="2304"/>
          </w:tcPr>
          <w:p>
            <w:r>
              <w:t>可直接关闭辅助区</w:t>
            </w:r>
          </w:p>
        </w:tc>
      </w:tr>
      <w:tr>
        <w:tc>
          <w:tcPr>
            <w:tcW w:type="dxa" w:w="2592"/>
          </w:tcPr>
          <w:p>
            <w:r>
              <w:t>跳过核心信息或信息明显不足</w:t>
            </w:r>
          </w:p>
        </w:tc>
        <w:tc>
          <w:tcPr>
            <w:tcW w:type="dxa" w:w="4752"/>
          </w:tcPr>
          <w:p>
            <w:r>
              <w:t>正文上方显示单行提示：“先用三句话写下本章想发生什么”；输入内容可一键转为场景卡</w:t>
            </w:r>
          </w:p>
        </w:tc>
        <w:tc>
          <w:tcPr>
            <w:tcW w:type="dxa" w:w="2304"/>
          </w:tcPr>
          <w:p>
            <w:r>
              <w:t>可忽略、关闭当前项目提示或全局关闭</w:t>
            </w:r>
          </w:p>
        </w:tc>
      </w:tr>
      <w:tr>
        <w:tc>
          <w:tcPr>
            <w:tcW w:type="dxa" w:w="2592"/>
          </w:tcPr>
          <w:p>
            <w:r>
              <w:t>专业模式创建完全空白项目</w:t>
            </w:r>
          </w:p>
        </w:tc>
        <w:tc>
          <w:tcPr>
            <w:tcW w:type="dxa" w:w="4752"/>
          </w:tcPr>
          <w:p>
            <w:r>
              <w:t>直接进入空白编辑器，不显示脚手架</w:t>
            </w:r>
          </w:p>
        </w:tc>
        <w:tc>
          <w:tcPr>
            <w:tcW w:type="dxa" w:w="2304"/>
          </w:tcPr>
          <w:p>
            <w:r>
              <w:t>可从命令面板主动调用</w:t>
            </w:r>
          </w:p>
        </w:tc>
      </w:tr>
    </w:tbl>
    <w:p>
      <w:pPr>
        <w:pStyle w:val="ListBullet"/>
      </w:pPr>
      <w:r>
        <w:t>脚手架输入不作为必填项，不使用红色错误或阻止进入编辑器。</w:t>
      </w:r>
    </w:p>
    <w:p>
      <w:pPr>
        <w:pStyle w:val="ListBullet"/>
      </w:pPr>
      <w:r>
        <w:t>输入转为场景卡前显示预览；取消时不保存临时输入。</w:t>
      </w:r>
    </w:p>
    <w:p>
      <w:pPr>
        <w:pStyle w:val="ListBullet"/>
      </w:pPr>
      <w:r>
        <w:t>系统不得自动生成完整剧情，只提供最低限度的目标、冲突和结果提示。</w:t>
      </w:r>
    </w:p>
    <w:p>
      <w:pPr>
        <w:pStyle w:val="Heading2"/>
      </w:pPr>
      <w:r>
        <w:t>11.21 右侧栏迷你人物状态条（实验项）</w:t>
      </w:r>
    </w:p>
    <w:p>
      <w:pPr/>
      <w:r>
        <w:t>为降低五标签切换成本，原型阶段验证“常驻迷你态+按需展开”的两层侧栏。该能力不新增数据实体，只读取当前场景已经关联的人物状态。</w:t>
      </w:r>
    </w:p>
    <w:p>
      <w:pPr>
        <w:pStyle w:val="ListBullet"/>
      </w:pPr>
      <w:r>
        <w:t>常驻区域高度控制在60-80px，最多显示3名核心人物。</w:t>
      </w:r>
    </w:p>
    <w:p>
      <w:pPr>
        <w:pStyle w:val="ListBullet"/>
      </w:pPr>
      <w:r>
        <w:t>每名人物只显示名称、当前情绪/状态和一条关键知情摘要；超出内容折叠为“更多”。</w:t>
      </w:r>
    </w:p>
    <w:p>
      <w:pPr>
        <w:pStyle w:val="ListBullet"/>
      </w:pPr>
      <w:r>
        <w:t>完整的本章、AI、人物、设定、检查五标签仍保留在展开层。</w:t>
      </w:r>
    </w:p>
    <w:p>
      <w:pPr>
        <w:pStyle w:val="ListBullet"/>
      </w:pPr>
      <w:r>
        <w:t>若原型测试未显示明显收益，首版可不实现，避免增加侧栏复杂度。</w:t>
      </w:r>
    </w:p>
    <w:p>
      <w:pPr>
        <w:pStyle w:val="Heading2"/>
      </w:pPr>
      <w:r>
        <w:t>11.22 状态确认质量保护（实验项）</w:t>
      </w:r>
    </w:p>
    <w:p>
      <w:pPr/>
      <w:r>
        <w:t>状态提案确认可能在长期使用中退化为机械“全部接受”。首版不增加提醒弹窗，只预留匿名本地行为计数，是否启用需经过真实两周使用验证。</w:t>
      </w:r>
    </w:p>
    <w:p>
      <w:pPr>
        <w:pStyle w:val="ListBullet"/>
      </w:pPr>
      <w:r>
        <w:t>仅在本地记录连续使用“全部接受”的次数和操作耗时，不记录正文内容，不上传。</w:t>
      </w:r>
    </w:p>
    <w:p>
      <w:pPr>
        <w:pStyle w:val="ListBullet"/>
      </w:pPr>
      <w:r>
        <w:t>实验阈值建议：连续20章全部接受，且平均确认时间低于3秒。</w:t>
      </w:r>
    </w:p>
    <w:p>
      <w:pPr>
        <w:pStyle w:val="ListBullet"/>
      </w:pPr>
      <w:r>
        <w:t>达到阈值后，下一次状态确认默认不预选任何项；不增加说教性提示。</w:t>
      </w:r>
    </w:p>
    <w:p>
      <w:pPr>
        <w:pStyle w:val="ListBullet"/>
      </w:pPr>
      <w:r>
        <w:t>该机制默认关闭，仅在原型或内部测试中启用；正式启用前必须有真实使用数据证明必要。</w:t>
      </w:r>
    </w:p>
    <w:p>
      <w:pPr>
        <w:pStyle w:val="ListBullet"/>
      </w:pPr>
      <w:r>
        <w:t>用户可在设置中彻底关闭并清除相关本地计数。</w:t>
      </w:r>
    </w:p>
    <w:p>
      <w:pPr>
        <w:pStyle w:val="Heading2"/>
      </w:pPr>
      <w:r>
        <w:t>11.23 统一状态优先级与通知降噪</w:t>
      </w:r>
    </w:p>
    <w:p>
      <w:pPr/>
      <w:r>
        <w:t>所有保存、生成、导入、校验和备份状态必须经过统一展示规则，不允许各模块自行向首页或顶部区域堆叠通知。</w:t>
      </w:r>
    </w:p>
    <w:tbl>
      <w:tblPr>
        <w:tblW w:type="auto" w:w="0"/>
        <w:tblLook w:firstColumn="1" w:firstRow="1" w:lastColumn="0" w:lastRow="0" w:noHBand="0" w:noVBand="1" w:val="04A0"/>
      </w:tblPr>
      <w:tblGrid>
        <w:gridCol w:w="2409"/>
        <w:gridCol w:w="2409"/>
        <w:gridCol w:w="2409"/>
        <w:gridCol w:w="2409"/>
      </w:tblGrid>
      <w:tr>
        <w:tc>
          <w:tcPr>
            <w:tcW w:type="dxa" w:w="1152"/>
          </w:tcPr>
          <w:p>
            <w:r>
              <w:t>优先级</w:t>
            </w:r>
          </w:p>
        </w:tc>
        <w:tc>
          <w:tcPr>
            <w:tcW w:type="dxa" w:w="2160"/>
          </w:tcPr>
          <w:p>
            <w:r>
              <w:t>类型</w:t>
            </w:r>
          </w:p>
        </w:tc>
        <w:tc>
          <w:tcPr>
            <w:tcW w:type="dxa" w:w="4608"/>
          </w:tcPr>
          <w:p>
            <w:r>
              <w:t>展示规则</w:t>
            </w:r>
          </w:p>
        </w:tc>
        <w:tc>
          <w:tcPr>
            <w:tcW w:type="dxa" w:w="2880"/>
          </w:tcPr>
          <w:p>
            <w:r>
              <w:t>示例</w:t>
            </w:r>
          </w:p>
        </w:tc>
        <w:trPr>
          <w:tblHeader/>
        </w:trPr>
      </w:tr>
      <w:tr>
        <w:tc>
          <w:tcPr>
            <w:tcW w:type="dxa" w:w="1152"/>
          </w:tcPr>
          <w:p>
            <w:r>
              <w:t>P0</w:t>
            </w:r>
          </w:p>
        </w:tc>
        <w:tc>
          <w:tcPr>
            <w:tcW w:type="dxa" w:w="2160"/>
          </w:tcPr>
          <w:p>
            <w:r>
              <w:t>数据安全</w:t>
            </w:r>
          </w:p>
        </w:tc>
        <w:tc>
          <w:tcPr>
            <w:tcW w:type="dxa" w:w="4608"/>
          </w:tcPr>
          <w:p>
            <w:r>
              <w:t>必须显示，可打断；问题解决前保持可见</w:t>
            </w:r>
          </w:p>
        </w:tc>
        <w:tc>
          <w:tcPr>
            <w:tcW w:type="dxa" w:w="2880"/>
          </w:tcPr>
          <w:p>
            <w:r>
              <w:t>保存失败、项目损坏、恢复失败</w:t>
            </w:r>
          </w:p>
        </w:tc>
      </w:tr>
      <w:tr>
        <w:tc>
          <w:tcPr>
            <w:tcW w:type="dxa" w:w="1152"/>
          </w:tcPr>
          <w:p>
            <w:r>
              <w:t>P1</w:t>
            </w:r>
          </w:p>
        </w:tc>
        <w:tc>
          <w:tcPr>
            <w:tcW w:type="dxa" w:w="2160"/>
          </w:tcPr>
          <w:p>
            <w:r>
              <w:t>用户主动任务</w:t>
            </w:r>
          </w:p>
        </w:tc>
        <w:tc>
          <w:tcPr>
            <w:tcW w:type="dxa" w:w="4608"/>
          </w:tcPr>
          <w:p>
            <w:r>
              <w:t>常驻但不打断；显示进度和取消入口</w:t>
            </w:r>
          </w:p>
        </w:tc>
        <w:tc>
          <w:tcPr>
            <w:tcW w:type="dxa" w:w="2880"/>
          </w:tcPr>
          <w:p>
            <w:r>
              <w:t>AI生成、导入、导出、备份进行中</w:t>
            </w:r>
          </w:p>
        </w:tc>
      </w:tr>
      <w:tr>
        <w:tc>
          <w:tcPr>
            <w:tcW w:type="dxa" w:w="1152"/>
          </w:tcPr>
          <w:p>
            <w:r>
              <w:t>P2</w:t>
            </w:r>
          </w:p>
        </w:tc>
        <w:tc>
          <w:tcPr>
            <w:tcW w:type="dxa" w:w="2160"/>
          </w:tcPr>
          <w:p>
            <w:r>
              <w:t>需要决策但不紧急</w:t>
            </w:r>
          </w:p>
        </w:tc>
        <w:tc>
          <w:tcPr>
            <w:tcW w:type="dxa" w:w="4608"/>
          </w:tcPr>
          <w:p>
            <w:r>
              <w:t>只在对应工作台显示，不外溢到首页</w:t>
            </w:r>
          </w:p>
        </w:tc>
        <w:tc>
          <w:tcPr>
            <w:tcW w:type="dxa" w:w="2880"/>
          </w:tcPr>
          <w:p>
            <w:r>
              <w:t>低风险校验、状态提案、普通备份提醒</w:t>
            </w:r>
          </w:p>
        </w:tc>
      </w:tr>
      <w:tr>
        <w:tc>
          <w:tcPr>
            <w:tcW w:type="dxa" w:w="1152"/>
          </w:tcPr>
          <w:p>
            <w:r>
              <w:t>P3</w:t>
            </w:r>
          </w:p>
        </w:tc>
        <w:tc>
          <w:tcPr>
            <w:tcW w:type="dxa" w:w="2160"/>
          </w:tcPr>
          <w:p>
            <w:r>
              <w:t>纯信息</w:t>
            </w:r>
          </w:p>
        </w:tc>
        <w:tc>
          <w:tcPr>
            <w:tcW w:type="dxa" w:w="4608"/>
          </w:tcPr>
          <w:p>
            <w:r>
              <w:t>静态展示，不使用强调色和弹窗</w:t>
            </w:r>
          </w:p>
        </w:tc>
        <w:tc>
          <w:tcPr>
            <w:tcW w:type="dxa" w:w="2880"/>
          </w:tcPr>
          <w:p>
            <w:r>
              <w:t>今日字数、连接状态、上次保存时间</w:t>
            </w:r>
          </w:p>
        </w:tc>
      </w:tr>
    </w:tbl>
    <w:p>
      <w:pPr>
        <w:pStyle w:val="ListBullet"/>
      </w:pPr>
      <w:r>
        <w:t>同一UI区域同一时刻只展示最高优先级的一条状态。</w:t>
      </w:r>
    </w:p>
    <w:p>
      <w:pPr>
        <w:pStyle w:val="ListBullet"/>
      </w:pPr>
      <w:r>
        <w:t>首页主动提示最多显示2条，其余收入“查看全部”。</w:t>
      </w:r>
    </w:p>
    <w:p>
      <w:pPr>
        <w:pStyle w:val="ListBullet"/>
      </w:pPr>
      <w:r>
        <w:t>P2信息不得通过Toast反复提醒；除非状态升级为P0，否则不打断正文输入。</w:t>
      </w:r>
    </w:p>
    <w:p>
      <w:pPr>
        <w:pStyle w:val="ListBullet"/>
      </w:pPr>
      <w:r>
        <w:t>第一版先实现优先级与数量上限，不建设复杂消息中心。</w:t>
      </w:r>
    </w:p>
    <w:p>
      <w:pPr>
        <w:pStyle w:val="Heading1"/>
        <w:keepNext/>
      </w:pPr>
      <w:r>
        <w:t>12. 数据库与IPC契约</w:t>
      </w:r>
    </w:p>
    <w:p>
      <w:pPr>
        <w:pStyle w:val="Heading2"/>
        <w:keepNext/>
      </w:pPr>
      <w:r>
        <w:t>12.1 核心表</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表组</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主要表</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项目结构</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projects、volumes、chapters、plot_nodes、scene_beats</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正文版本</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chapter_drafts、draft_blocks、candidates、chapter_versions、version_blocks</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AI运行</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generation_runs、provider_configs</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设定连续性</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canon_entities、canon_facts、entity_states、timeline_events、knowledge_states</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伏笔与快照</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foreshadowings、foreshadowing_edges、state_change_proposals、ending_snapshots</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校验与辅助</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validation_issues、revision_items、story_todos、comments、research_notes</w:t>
            </w:r>
          </w:p>
        </w:tc>
      </w:tr>
    </w:tbl>
    <w:p>
      <w:pPr>
        <w:pStyle w:val="Heading2"/>
        <w:keepNext/>
      </w:pPr>
      <w:r>
        <w:t>12.2 关键约束</w:t>
      </w:r>
    </w:p>
    <w:p>
      <w:pPr>
        <w:pStyle w:val="ListBullet"/>
        <w:spacing w:after="40"/>
        <w:ind w:left="283" w:hanging="142"/>
      </w:pPr>
      <w:r>
        <w:rPr>
          <w:rFonts w:ascii="Noto Sans CJK SC" w:hAnsi="Noto Sans CJK SC" w:eastAsia="Noto Sans CJK SC"/>
          <w:sz w:val="21"/>
        </w:rPr>
        <w:t>UNIQUE(chapter_id)限制一个活动Draft。</w:t>
      </w:r>
    </w:p>
    <w:p>
      <w:pPr>
        <w:pStyle w:val="ListBullet"/>
        <w:spacing w:after="40"/>
        <w:ind w:left="283" w:hanging="142"/>
      </w:pPr>
      <w:r>
        <w:rPr>
          <w:rFonts w:ascii="Noto Sans CJK SC" w:hAnsi="Noto Sans CJK SC" w:eastAsia="Noto Sans CJK SC"/>
          <w:sz w:val="21"/>
        </w:rPr>
        <w:t>UNIQUE(draft_id, logical_block_id)保证同一Draft内逻辑身份唯一。</w:t>
      </w:r>
    </w:p>
    <w:p>
      <w:pPr>
        <w:pStyle w:val="ListBullet"/>
        <w:spacing w:after="40"/>
        <w:ind w:left="283" w:hanging="142"/>
      </w:pPr>
      <w:r>
        <w:rPr>
          <w:rFonts w:ascii="Noto Sans CJK SC" w:hAnsi="Noto Sans CJK SC" w:eastAsia="Noto Sans CJK SC"/>
          <w:sz w:val="21"/>
        </w:rPr>
        <w:t>Version表和VersionBlock不提供UPDATE业务接口。</w:t>
      </w:r>
    </w:p>
    <w:p>
      <w:pPr>
        <w:pStyle w:val="ListBullet"/>
        <w:spacing w:after="40"/>
        <w:ind w:left="283" w:hanging="142"/>
      </w:pPr>
      <w:r>
        <w:rPr>
          <w:rFonts w:ascii="Noto Sans CJK SC" w:hAnsi="Noto Sans CJK SC" w:eastAsia="Noto Sans CJK SC"/>
          <w:sz w:val="21"/>
        </w:rPr>
        <w:t>所有业务表包含created_at；可编辑实体包含updated_at和revision。</w:t>
      </w:r>
    </w:p>
    <w:p>
      <w:pPr>
        <w:pStyle w:val="ListBullet"/>
        <w:spacing w:after="40"/>
        <w:ind w:left="283" w:hanging="142"/>
      </w:pPr>
      <w:r>
        <w:rPr>
          <w:rFonts w:ascii="Noto Sans CJK SC" w:hAnsi="Noto Sans CJK SC" w:eastAsia="Noto Sans CJK SC"/>
          <w:sz w:val="21"/>
        </w:rPr>
        <w:t>删除章节前必须检查Version、状态和伏笔引用，默认软删除。</w:t>
      </w:r>
    </w:p>
    <w:p>
      <w:pPr>
        <w:pStyle w:val="Heading2"/>
        <w:keepNext/>
      </w:pPr>
      <w:r>
        <w:t>12.3 IPC通用信封</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interface IpcMessage&lt;T&gt; {</w:t>
              <w:br/>
            </w:r>
            <w:r>
              <w:rPr>
                <w:rFonts w:ascii="Noto Sans CJK SC" w:hAnsi="Noto Sans CJK SC" w:eastAsia="Noto Sans CJK SC"/>
                <w:color w:val="243447"/>
                <w:sz w:val="18"/>
              </w:rPr>
              <w:t xml:space="preserve">  protocolVersion: 1;</w:t>
              <w:br/>
            </w:r>
            <w:r>
              <w:rPr>
                <w:rFonts w:ascii="Noto Sans CJK SC" w:hAnsi="Noto Sans CJK SC" w:eastAsia="Noto Sans CJK SC"/>
                <w:color w:val="243447"/>
                <w:sz w:val="18"/>
              </w:rPr>
              <w:t xml:space="preserve">  messageId: string;</w:t>
              <w:br/>
            </w:r>
            <w:r>
              <w:rPr>
                <w:rFonts w:ascii="Noto Sans CJK SC" w:hAnsi="Noto Sans CJK SC" w:eastAsia="Noto Sans CJK SC"/>
                <w:color w:val="243447"/>
                <w:sz w:val="18"/>
              </w:rPr>
              <w:t xml:space="preserve">  type: string;</w:t>
              <w:br/>
            </w:r>
            <w:r>
              <w:rPr>
                <w:rFonts w:ascii="Noto Sans CJK SC" w:hAnsi="Noto Sans CJK SC" w:eastAsia="Noto Sans CJK SC"/>
                <w:color w:val="243447"/>
                <w:sz w:val="18"/>
              </w:rPr>
              <w:t xml:space="preserve">  payload: T;</w:t>
              <w:br/>
            </w:r>
            <w:r>
              <w:rPr>
                <w:rFonts w:ascii="Noto Sans CJK SC" w:hAnsi="Noto Sans CJK SC" w:eastAsia="Noto Sans CJK SC"/>
                <w:color w:val="243447"/>
                <w:sz w:val="18"/>
              </w:rPr>
              <w:t xml:space="preserve">  sentAt: string;</w:t>
              <w:br/>
            </w:r>
            <w:r>
              <w:rPr>
                <w:rFonts w:ascii="Noto Sans CJK SC" w:hAnsi="Noto Sans CJK SC" w:eastAsia="Noto Sans CJK SC"/>
                <w:color w:val="243447"/>
                <w:sz w:val="18"/>
              </w:rPr>
              <w:t>}</w:t>
              <w:br/>
            </w:r>
          </w:p>
        </w:tc>
        <w:trPr>
          <w:tblHeader/>
          <w:cantSplit/>
        </w:trPr>
      </w:tr>
    </w:tbl>
    <w:p>
      <w:pPr>
        <w:pStyle w:val="Heading2"/>
        <w:keepNext/>
      </w:pPr>
      <w:r>
        <w:t>12.4 核心命令</w:t>
      </w:r>
    </w:p>
    <w:tbl>
      <w:tblPr>
        <w:tblW w:type="auto" w:w="0"/>
        <w:tblLayout w:type="fixed"/>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blHeader w:val="true"/>
          <w:tblHeader w:val="true"/>
          <w:tblHeader w:val="true"/>
          <w:tblHeader w:val="true"/>
          <w:tblHeader w:val="true"/>
          <w:tblHeader w:val="true"/>
        </w:trPr>
        <w:tc>
          <w:tcPr>
            <w:tcW w:type="dxa" w:w="3168"/>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jc w:val="center"/>
            </w:pPr>
            <w:r>
              <w:rPr>
                <w:rFonts w:ascii="Noto Sans CJK SC" w:hAnsi="Noto Sans CJK SC" w:eastAsia="Noto Sans CJK SC"/>
                <w:b/>
                <w:color w:val="264997"/>
                <w:sz w:val="18"/>
              </w:rPr>
              <w:t>命令</w:t>
            </w:r>
          </w:p>
        </w:tc>
        <w:tc>
          <w:tcPr>
            <w:tcW w:type="dxa" w:w="6192"/>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jc w:val="center"/>
            </w:pPr>
            <w:r>
              <w:rPr>
                <w:rFonts w:ascii="Noto Sans CJK SC" w:hAnsi="Noto Sans CJK SC" w:eastAsia="Noto Sans CJK SC"/>
                <w:b/>
                <w:color w:val="264997"/>
                <w:sz w:val="18"/>
              </w:rPr>
              <w:t>用途</w:t>
            </w:r>
          </w:p>
        </w:tc>
      </w:tr>
      <w:tr>
        <w:trPr>
          <w:cantSplit/>
        </w:trPr>
        <w:tc>
          <w:tcPr>
            <w:tcW w:type="dxa" w:w="31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project.open</w:t>
            </w:r>
          </w:p>
        </w:tc>
        <w:tc>
          <w:tcPr>
            <w:tcW w:type="dxa" w:w="619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打开并迁移项目</w:t>
            </w:r>
          </w:p>
        </w:tc>
      </w:tr>
      <w:tr>
        <w:trPr>
          <w:cantSplit/>
        </w:trPr>
        <w:tc>
          <w:tcPr>
            <w:tcW w:type="dxa" w:w="3168"/>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draft.applyPatch</w:t>
            </w:r>
          </w:p>
        </w:tc>
        <w:tc>
          <w:tcPr>
            <w:tcW w:type="dxa" w:w="6192"/>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保存块级编辑</w:t>
            </w:r>
          </w:p>
        </w:tc>
      </w:tr>
      <w:tr>
        <w:trPr>
          <w:cantSplit/>
        </w:trPr>
        <w:tc>
          <w:tcPr>
            <w:tcW w:type="dxa" w:w="31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version.create</w:t>
            </w:r>
          </w:p>
        </w:tc>
        <w:tc>
          <w:tcPr>
            <w:tcW w:type="dxa" w:w="619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创建不可变版本</w:t>
            </w:r>
          </w:p>
        </w:tc>
      </w:tr>
      <w:tr>
        <w:trPr>
          <w:cantSplit/>
        </w:trPr>
        <w:tc>
          <w:tcPr>
            <w:tcW w:type="dxa" w:w="3168"/>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generation.start</w:t>
            </w:r>
          </w:p>
        </w:tc>
        <w:tc>
          <w:tcPr>
            <w:tcW w:type="dxa" w:w="6192"/>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启动AI运行</w:t>
            </w:r>
          </w:p>
        </w:tc>
      </w:tr>
      <w:tr>
        <w:trPr>
          <w:cantSplit/>
        </w:trPr>
        <w:tc>
          <w:tcPr>
            <w:tcW w:type="dxa" w:w="31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generation.cancel</w:t>
            </w:r>
          </w:p>
        </w:tc>
        <w:tc>
          <w:tcPr>
            <w:tcW w:type="dxa" w:w="619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取消当前请求</w:t>
            </w:r>
          </w:p>
        </w:tc>
      </w:tr>
      <w:tr>
        <w:trPr>
          <w:cantSplit/>
        </w:trPr>
        <w:tc>
          <w:tcPr>
            <w:tcW w:type="dxa" w:w="3168"/>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candidate.accept</w:t>
            </w:r>
          </w:p>
        </w:tc>
        <w:tc>
          <w:tcPr>
            <w:tcW w:type="dxa" w:w="6192"/>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接受候选或返回冲突</w:t>
            </w:r>
          </w:p>
        </w:tc>
      </w:tr>
      <w:tr>
        <w:trPr>
          <w:cantSplit/>
        </w:trPr>
        <w:tc>
          <w:tcPr>
            <w:tcW w:type="dxa" w:w="31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validation.run</w:t>
            </w:r>
          </w:p>
        </w:tc>
        <w:tc>
          <w:tcPr>
            <w:tcW w:type="dxa" w:w="619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执行校验</w:t>
            </w:r>
          </w:p>
        </w:tc>
      </w:tr>
      <w:tr>
        <w:trPr>
          <w:cantSplit/>
        </w:trPr>
        <w:tc>
          <w:tcPr>
            <w:tcW w:type="dxa" w:w="3168"/>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stateProposal.resolve</w:t>
            </w:r>
          </w:p>
        </w:tc>
        <w:tc>
          <w:tcPr>
            <w:tcW w:type="dxa" w:w="6192"/>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接受、修改或拒绝状态提案</w:t>
            </w:r>
          </w:p>
        </w:tc>
      </w:tr>
      <w:tr>
        <w:trPr>
          <w:cantSplit/>
        </w:trPr>
        <w:tc>
          <w:tcPr>
            <w:tcW w:type="dxa" w:w="31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project.backup</w:t>
            </w:r>
          </w:p>
        </w:tc>
        <w:tc>
          <w:tcPr>
            <w:tcW w:type="dxa" w:w="619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创建一致性备份</w:t>
            </w:r>
          </w:p>
        </w:tc>
      </w:tr>
      <w:tr>
        <w:trPr>
          <w:cantSplit/>
        </w:trPr>
        <w:tc>
          <w:tcPr>
            <w:tcW w:type="dxa" w:w="3168"/>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chapter.split</w:t>
            </w:r>
          </w:p>
        </w:tc>
        <w:tc>
          <w:tcPr>
            <w:tcW w:type="dxa" w:w="6192"/>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按正文块边界拆分章节并创建新Draft</w:t>
            </w:r>
          </w:p>
        </w:tc>
      </w:tr>
      <w:tr>
        <w:trPr>
          <w:cantSplit/>
        </w:trPr>
        <w:tc>
          <w:tcPr>
            <w:tcW w:type="dxa" w:w="31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chapter.merge</w:t>
            </w:r>
          </w:p>
        </w:tc>
        <w:tc>
          <w:tcPr>
            <w:tcW w:type="dxa" w:w="619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合并选定章节为新Draft，保留原Version</w:t>
            </w:r>
          </w:p>
        </w:tc>
      </w:tr>
      <w:tr>
        <w:trPr>
          <w:cantSplit/>
        </w:trPr>
        <w:tc>
          <w:tcPr>
            <w:tcW w:type="dxa" w:w="3168"/>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scene.move</w:t>
            </w:r>
          </w:p>
        </w:tc>
        <w:tc>
          <w:tcPr>
            <w:tcW w:type="dxa" w:w="6192"/>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移动场景规划或经确认同时移动关联正文块</w:t>
            </w:r>
          </w:p>
        </w:tc>
      </w:tr>
      <w:tr>
        <w:trPr>
          <w:cantSplit/>
        </w:trPr>
        <w:tc>
          <w:tcPr>
            <w:tcW w:type="dxa" w:w="31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import.preview</w:t>
            </w:r>
          </w:p>
        </w:tc>
        <w:tc>
          <w:tcPr>
            <w:tcW w:type="dxa" w:w="619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解析文件并返回可编辑的章节预览</w:t>
            </w:r>
          </w:p>
        </w:tc>
      </w:tr>
      <w:tr>
        <w:trPr>
          <w:cantSplit/>
        </w:trPr>
        <w:tc>
          <w:tcPr>
            <w:tcW w:type="dxa" w:w="3168"/>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proofreading.run</w:t>
            </w:r>
          </w:p>
        </w:tc>
        <w:tc>
          <w:tcPr>
            <w:tcW w:type="dxa" w:w="6192"/>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执行离线标点、专名和基础文本检查</w:t>
            </w:r>
          </w:p>
        </w:tc>
      </w:tr>
      <w:tr>
        <w:trPr>
          <w:cantSplit/>
        </w:trPr>
        <w:tc>
          <w:tcPr>
            <w:tcW w:type="dxa" w:w="3168"/>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projectTerm.upsert</w:t>
            </w:r>
          </w:p>
        </w:tc>
        <w:tc>
          <w:tcPr>
            <w:tcW w:type="dxa" w:w="6192"/>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新增或更新项目专名词典条目</w:t>
            </w:r>
          </w:p>
        </w:tc>
      </w:tr>
      <w:tr>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trash.restore</w:t>
            </w:r>
          </w:p>
        </w:tc>
        <w:tc>
          <w:tcPr>
            <w:tcW w:type="dxa" w:w="61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恢复回收站中的卷、章节或场景</w:t>
            </w:r>
          </w:p>
        </w:tc>
      </w:tr>
      <w:tr>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trash.purge</w:t>
            </w:r>
          </w:p>
        </w:tc>
        <w:tc>
          <w:tcPr>
            <w:tcW w:type="dxa" w:w="61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永久删除回收站条目</w:t>
            </w:r>
          </w:p>
        </w:tc>
      </w:tr>
      <w:tr>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backup.restore</w:t>
            </w:r>
          </w:p>
        </w:tc>
        <w:tc>
          <w:tcPr>
            <w:tcW w:type="dxa" w:w="61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校验备份并恢复为项目副本</w:t>
            </w:r>
          </w:p>
        </w:tc>
      </w:tr>
      <w:tr>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settings.update</w:t>
            </w:r>
          </w:p>
        </w:tc>
        <w:tc>
          <w:tcPr>
            <w:tcW w:type="dxa" w:w="61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校验并保存应用或项目设置</w:t>
            </w:r>
          </w:p>
        </w:tc>
      </w:tr>
      <w:tr>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export.create</w:t>
            </w:r>
          </w:p>
        </w:tc>
        <w:tc>
          <w:tcPr>
            <w:tcW w:type="dxa" w:w="61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以临时文件和原子重命名创建导出文件</w:t>
            </w:r>
          </w:p>
        </w:tc>
      </w:tr>
      <w:tr>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stats.getWordCount</w:t>
            </w:r>
          </w:p>
        </w:tc>
        <w:tc>
          <w:tcPr>
            <w:tcW w:type="dxa" w:w="61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获取统一口径的字数统计</w:t>
            </w:r>
          </w:p>
        </w:tc>
      </w:tr>
      <w:tr>
        <w:tc>
          <w:tcPr>
            <w:tcW w:type="dxa" w:w="4819"/>
          </w:tcPr>
          <w:p>
            <w:r>
              <w:t>candidate.undoApply</w:t>
            </w:r>
          </w:p>
        </w:tc>
        <w:tc>
          <w:tcPr>
            <w:tcW w:type="dxa" w:w="4819"/>
          </w:tcPr>
          <w:p>
            <w:r>
              <w:t>撤销一次候选采用事务；冲突时返回恢复预览</w:t>
            </w:r>
          </w:p>
        </w:tc>
      </w:tr>
      <w:tr>
        <w:tc>
          <w:tcPr>
            <w:tcW w:type="dxa" w:w="4819"/>
          </w:tcPr>
          <w:p>
            <w:r>
              <w:t>generation.getProgress</w:t>
            </w:r>
          </w:p>
        </w:tc>
        <w:tc>
          <w:tcPr>
            <w:tcW w:type="dxa" w:w="4819"/>
          </w:tcPr>
          <w:p>
            <w:r>
              <w:t>读取AI任务真实阶段、已运行时长和已接收字符数</w:t>
            </w:r>
          </w:p>
        </w:tc>
      </w:tr>
    </w:tbl>
    <w:p>
      <w:pPr>
        <w:pStyle w:val="Heading1"/>
        <w:keepNext/>
      </w:pPr>
      <w:r>
        <w:t>13. 安全、备份与错误处理</w:t>
      </w:r>
    </w:p>
    <w:p>
      <w:pPr>
        <w:pStyle w:val="Heading2"/>
        <w:keepNext/>
      </w:pPr>
      <w:r>
        <w:t>13.1 隐私边界</w:t>
      </w:r>
    </w:p>
    <w:p>
      <w:pPr>
        <w:pStyle w:val="ListBullet"/>
        <w:spacing w:after="40"/>
        <w:ind w:left="283" w:hanging="142"/>
      </w:pPr>
      <w:r>
        <w:rPr>
          <w:rFonts w:ascii="Noto Sans CJK SC" w:hAnsi="Noto Sans CJK SC" w:eastAsia="Noto Sans CJK SC"/>
          <w:sz w:val="21"/>
        </w:rPr>
        <w:t>WorldForge不接收、托管或中转任何作品数据。</w:t>
      </w:r>
    </w:p>
    <w:p>
      <w:pPr>
        <w:pStyle w:val="ListBullet"/>
        <w:spacing w:after="40"/>
        <w:ind w:left="283" w:hanging="142"/>
      </w:pPr>
      <w:r>
        <w:rPr>
          <w:rFonts w:ascii="Noto Sans CJK SC" w:hAnsi="Noto Sans CJK SC" w:eastAsia="Noto Sans CJK SC"/>
          <w:sz w:val="21"/>
        </w:rPr>
        <w:t>调用外部API前显示目标端点和将发送的数据类型。</w:t>
      </w:r>
    </w:p>
    <w:p>
      <w:pPr>
        <w:pStyle w:val="ListBullet"/>
        <w:spacing w:after="40"/>
        <w:ind w:left="283" w:hanging="142"/>
      </w:pPr>
      <w:r>
        <w:rPr>
          <w:rFonts w:ascii="Noto Sans CJK SC" w:hAnsi="Noto Sans CJK SC" w:eastAsia="Noto Sans CJK SC"/>
          <w:sz w:val="21"/>
        </w:rPr>
        <w:t>日志默认不记录完整正文、完整Prompt和密钥。</w:t>
      </w:r>
    </w:p>
    <w:p>
      <w:pPr>
        <w:pStyle w:val="ListBullet"/>
        <w:spacing w:after="40"/>
        <w:ind w:left="283" w:hanging="142"/>
      </w:pPr>
      <w:r>
        <w:rPr>
          <w:rFonts w:ascii="Noto Sans CJK SC" w:hAnsi="Noto Sans CJK SC" w:eastAsia="Noto Sans CJK SC"/>
          <w:sz w:val="21"/>
        </w:rPr>
        <w:t>Renderer无法读取Credential Store和项目数据库文件。</w:t>
      </w:r>
    </w:p>
    <w:p>
      <w:pPr>
        <w:pStyle w:val="ListBullet"/>
        <w:spacing w:after="40"/>
        <w:ind w:left="283" w:hanging="142"/>
      </w:pPr>
      <w:r>
        <w:rPr>
          <w:rFonts w:ascii="Noto Sans CJK SC" w:hAnsi="Noto Sans CJK SC" w:eastAsia="Noto Sans CJK SC"/>
          <w:sz w:val="21"/>
        </w:rPr>
        <w:t>本地模型端点由用户自行运行和信任，WorldForge只发起连接。</w:t>
      </w:r>
    </w:p>
    <w:p>
      <w:pPr>
        <w:pStyle w:val="Heading2"/>
        <w:keepNext/>
      </w:pPr>
      <w:r>
        <w:t>13.2 备份</w:t>
      </w:r>
    </w:p>
    <w:p>
      <w:pPr>
        <w:spacing w:after="40"/>
      </w:pPr>
      <w:r>
        <w:t>1. 通过SQLite Online Backup API生成一致性临时副本。</w:t>
      </w:r>
    </w:p>
    <w:p>
      <w:pPr>
        <w:spacing w:after="40"/>
      </w:pPr>
      <w:r>
        <w:t>2. 执行integrity_check并生成SHA-256清单。</w:t>
      </w:r>
    </w:p>
    <w:p>
      <w:pPr>
        <w:spacing w:after="40"/>
      </w:pPr>
      <w:r>
        <w:t>3. 收集附件和manifest，压缩为临时.wfproj。</w:t>
      </w:r>
    </w:p>
    <w:p>
      <w:pPr>
        <w:spacing w:after="40"/>
      </w:pPr>
      <w:r>
        <w:t>4. 校验成功后原子重命名。</w:t>
      </w:r>
    </w:p>
    <w:p>
      <w:pPr>
        <w:spacing w:after="40"/>
      </w:pPr>
      <w:r>
        <w:t>5. 恢复时解压到新目录，不直接覆盖原项目。</w:t>
      </w:r>
    </w:p>
    <w:p>
      <w:pPr>
        <w:pStyle w:val="Heading2"/>
        <w:keepNext/>
      </w:pPr>
      <w:r>
        <w:t>13.3 标准错误</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interface StandardError {</w:t>
              <w:br/>
            </w:r>
            <w:r>
              <w:rPr>
                <w:rFonts w:ascii="Noto Sans CJK SC" w:hAnsi="Noto Sans CJK SC" w:eastAsia="Noto Sans CJK SC"/>
                <w:color w:val="243447"/>
                <w:sz w:val="18"/>
              </w:rPr>
              <w:t xml:space="preserve">  code: string;</w:t>
              <w:br/>
            </w:r>
            <w:r>
              <w:rPr>
                <w:rFonts w:ascii="Noto Sans CJK SC" w:hAnsi="Noto Sans CJK SC" w:eastAsia="Noto Sans CJK SC"/>
                <w:color w:val="243447"/>
                <w:sz w:val="18"/>
              </w:rPr>
              <w:t xml:space="preserve">  message: string;</w:t>
              <w:br/>
            </w:r>
            <w:r>
              <w:rPr>
                <w:rFonts w:ascii="Noto Sans CJK SC" w:hAnsi="Noto Sans CJK SC" w:eastAsia="Noto Sans CJK SC"/>
                <w:color w:val="243447"/>
                <w:sz w:val="18"/>
              </w:rPr>
              <w:t xml:space="preserve">  retryable: boolean;</w:t>
              <w:br/>
            </w:r>
            <w:r>
              <w:rPr>
                <w:rFonts w:ascii="Noto Sans CJK SC" w:hAnsi="Noto Sans CJK SC" w:eastAsia="Noto Sans CJK SC"/>
                <w:color w:val="243447"/>
                <w:sz w:val="18"/>
              </w:rPr>
              <w:t xml:space="preserve">  details?: Record&lt;string, unknown&gt;;</w:t>
              <w:br/>
            </w:r>
            <w:r>
              <w:rPr>
                <w:rFonts w:ascii="Noto Sans CJK SC" w:hAnsi="Noto Sans CJK SC" w:eastAsia="Noto Sans CJK SC"/>
                <w:color w:val="243447"/>
                <w:sz w:val="18"/>
              </w:rPr>
              <w:t>}</w:t>
              <w:br/>
            </w:r>
          </w:p>
        </w:tc>
        <w:trPr>
          <w:tblHeader/>
          <w:cantSplit/>
        </w:trPr>
      </w:tr>
    </w:tbl>
    <w:tbl>
      <w:tblPr>
        <w:tblW w:type="auto" w:w="0"/>
        <w:tblLayout w:type="fixed"/>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blHeader w:val="true"/>
          <w:tblHeader w:val="true"/>
          <w:tblHeader w:val="true"/>
          <w:tblHeader w:val="true"/>
          <w:tblHeader w:val="true"/>
        </w:trPr>
        <w:tc>
          <w:tcPr>
            <w:tcW w:type="dxa" w:w="3240"/>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jc w:val="center"/>
            </w:pPr>
            <w:r>
              <w:rPr>
                <w:rFonts w:ascii="Noto Sans CJK SC" w:hAnsi="Noto Sans CJK SC" w:eastAsia="Noto Sans CJK SC"/>
                <w:b/>
                <w:color w:val="264997"/>
                <w:sz w:val="18"/>
              </w:rPr>
              <w:t>错误码</w:t>
            </w:r>
          </w:p>
        </w:tc>
        <w:tc>
          <w:tcPr>
            <w:tcW w:type="dxa" w:w="6120"/>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jc w:val="center"/>
            </w:pPr>
            <w:r>
              <w:rPr>
                <w:rFonts w:ascii="Noto Sans CJK SC" w:hAnsi="Noto Sans CJK SC" w:eastAsia="Noto Sans CJK SC"/>
                <w:b/>
                <w:color w:val="264997"/>
                <w:sz w:val="18"/>
              </w:rPr>
              <w:t>含义</w:t>
            </w:r>
          </w:p>
        </w:tc>
      </w:tr>
      <w:tr>
        <w:trPr>
          <w:cantSplit/>
        </w:trPr>
        <w:tc>
          <w:tcPr>
            <w:tcW w:type="dxa" w:w="324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REVISION_CONFLICT</w:t>
            </w:r>
          </w:p>
        </w:tc>
        <w:tc>
          <w:tcPr>
            <w:tcW w:type="dxa" w:w="612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Draft已在候选生成后发生修改</w:t>
            </w:r>
          </w:p>
        </w:tc>
      </w:tr>
      <w:tr>
        <w:trPr>
          <w:cantSplit/>
        </w:trPr>
        <w:tc>
          <w:tcPr>
            <w:tcW w:type="dxa" w:w="324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LOCKED_BLOCK_VIOLATION</w:t>
            </w:r>
          </w:p>
        </w:tc>
        <w:tc>
          <w:tcPr>
            <w:tcW w:type="dxa" w:w="612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操作试图修改锁定块</w:t>
            </w:r>
          </w:p>
        </w:tc>
      </w:tr>
      <w:tr>
        <w:trPr>
          <w:cantSplit/>
        </w:trPr>
        <w:tc>
          <w:tcPr>
            <w:tcW w:type="dxa" w:w="324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PROVIDER_UNAVAILABLE</w:t>
            </w:r>
          </w:p>
        </w:tc>
        <w:tc>
          <w:tcPr>
            <w:tcW w:type="dxa" w:w="612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模型端点不可用</w:t>
            </w:r>
          </w:p>
        </w:tc>
      </w:tr>
      <w:tr>
        <w:trPr>
          <w:cantSplit/>
        </w:trPr>
        <w:tc>
          <w:tcPr>
            <w:tcW w:type="dxa" w:w="324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STRUCTURED_OUTPUT_INVALID</w:t>
            </w:r>
          </w:p>
        </w:tc>
        <w:tc>
          <w:tcPr>
            <w:tcW w:type="dxa" w:w="612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结构化结果无法通过Schema</w:t>
            </w:r>
          </w:p>
        </w:tc>
      </w:tr>
      <w:tr>
        <w:trPr>
          <w:cantSplit/>
        </w:trPr>
        <w:tc>
          <w:tcPr>
            <w:tcW w:type="dxa" w:w="324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PROJECT_INTEGRITY_ERROR</w:t>
            </w:r>
          </w:p>
        </w:tc>
        <w:tc>
          <w:tcPr>
            <w:tcW w:type="dxa" w:w="612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项目数据库或附件完整性异常</w:t>
            </w:r>
          </w:p>
        </w:tc>
      </w:tr>
      <w:tr>
        <w:trPr>
          <w:cantSplit/>
        </w:trPr>
        <w:tc>
          <w:tcPr>
            <w:tcW w:type="dxa" w:w="324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BACKUP_FAILED</w:t>
            </w:r>
          </w:p>
        </w:tc>
        <w:tc>
          <w:tcPr>
            <w:tcW w:type="dxa" w:w="612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line="264" w:lineRule="auto" w:before="40"/>
            </w:pPr>
            <w:r>
              <w:rPr>
                <w:rFonts w:ascii="Noto Sans CJK SC" w:hAnsi="Noto Sans CJK SC" w:eastAsia="Noto Sans CJK SC"/>
                <w:color w:val="243447"/>
                <w:sz w:val="18"/>
              </w:rPr>
              <w:t>一致性备份未完成</w:t>
            </w:r>
          </w:p>
        </w:tc>
      </w:tr>
      <w:tr>
        <w:trPr>
          <w:cantSplit/>
        </w:trPr>
        <w:tc>
          <w:tcPr>
            <w:tcW w:type="dxa" w:w="324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ACTIVE_RUN_EXISTS</w:t>
            </w:r>
          </w:p>
        </w:tc>
        <w:tc>
          <w:tcPr>
            <w:tcW w:type="dxa" w:w="612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同一章节已有写入型AI任务运行</w:t>
            </w:r>
          </w:p>
        </w:tc>
      </w:tr>
      <w:tr>
        <w:trPr>
          <w:cantSplit/>
        </w:trPr>
        <w:tc>
          <w:tcPr>
            <w:tcW w:type="dxa" w:w="324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SCENE_TEXT_CONFIRM_REQUIRED</w:t>
            </w:r>
          </w:p>
        </w:tc>
        <w:tc>
          <w:tcPr>
            <w:tcW w:type="dxa" w:w="612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场景移动涉及已有正文，必须明确选择处理方式</w:t>
            </w:r>
          </w:p>
        </w:tc>
      </w:tr>
      <w:tr>
        <w:trPr>
          <w:cantSplit/>
        </w:trPr>
        <w:tc>
          <w:tcPr>
            <w:tcW w:type="dxa" w:w="324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IMPORT_PREVIEW_INVALID</w:t>
            </w:r>
          </w:p>
        </w:tc>
        <w:tc>
          <w:tcPr>
            <w:tcW w:type="dxa" w:w="612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导入预览仍包含未解决的章节边界错误</w:t>
            </w:r>
          </w:p>
        </w:tc>
      </w:tr>
      <w:tr>
        <w:trPr>
          <w:cantSplit/>
        </w:trPr>
        <w:tc>
          <w:tcPr>
            <w:tcW w:type="dxa" w:w="324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BLOCK_MAPPING_CONFLICT</w:t>
            </w:r>
          </w:p>
        </w:tc>
        <w:tc>
          <w:tcPr>
            <w:tcW w:type="dxa" w:w="6120"/>
            <w:vAlign w:val="center"/>
            <w:tcMar>
              <w:top w:w="90" w:type="dxa"/>
              <w:start w:w="110" w:type="dxa"/>
              <w:bottom w:w="90" w:type="dxa"/>
              <w:end w:w="110" w:type="dxa"/>
            </w:tcMar>
            <w:shd w:fill="FAFBFD"/>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候选块无法与当前Draft建立可靠映射</w:t>
            </w:r>
          </w:p>
        </w:tc>
      </w:tr>
      <w:tr>
        <w:trPr>
          <w:cantSplit/>
        </w:trPr>
        <w:tc>
          <w:tcPr>
            <w:tcW w:type="dxa" w:w="324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TERM_CONFLICT</w:t>
            </w:r>
          </w:p>
        </w:tc>
        <w:tc>
          <w:tcPr>
            <w:tcW w:type="dxa" w:w="6120"/>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40" w:before="40"/>
            </w:pPr>
            <w:r>
              <w:rPr>
                <w:rFonts w:ascii="Noto Sans CJK SC" w:hAnsi="Noto Sans CJK SC" w:eastAsia="Noto Sans CJK SC"/>
                <w:sz w:val="18"/>
              </w:rPr>
              <w:t>项目词典中存在冲突的标准写法</w:t>
            </w:r>
          </w:p>
        </w:tc>
      </w:tr>
      <w:tr>
        <w:tc>
          <w:tcPr>
            <w:tcW w:type="dxa" w:w="324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TRASH_RESTORE_CONFLICT</w:t>
            </w:r>
          </w:p>
        </w:tc>
        <w:tc>
          <w:tcPr>
            <w:tcW w:type="dxa" w:w="61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回收站条目无法恢复到原位置</w:t>
            </w:r>
          </w:p>
        </w:tc>
      </w:tr>
      <w:tr>
        <w:tc>
          <w:tcPr>
            <w:tcW w:type="dxa" w:w="324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BACKUP_SPACE_INSUFFICIENT</w:t>
            </w:r>
          </w:p>
        </w:tc>
        <w:tc>
          <w:tcPr>
            <w:tcW w:type="dxa" w:w="61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磁盘空间不足，备份未创建</w:t>
            </w:r>
          </w:p>
        </w:tc>
      </w:tr>
      <w:tr>
        <w:tc>
          <w:tcPr>
            <w:tcW w:type="dxa" w:w="324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REQUIRED_RESTORE_POINT_FAILED</w:t>
            </w:r>
          </w:p>
        </w:tc>
        <w:tc>
          <w:tcPr>
            <w:tcW w:type="dxa" w:w="61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破坏性操作前恢复点失败</w:t>
            </w:r>
          </w:p>
        </w:tc>
      </w:tr>
      <w:tr>
        <w:tc>
          <w:tcPr>
            <w:tcW w:type="dxa" w:w="324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IMPORT_ENCODING_UNCERTAIN</w:t>
            </w:r>
          </w:p>
        </w:tc>
        <w:tc>
          <w:tcPr>
            <w:tcW w:type="dxa" w:w="61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文件编码需要人工确认</w:t>
            </w:r>
          </w:p>
        </w:tc>
      </w:tr>
      <w:tr>
        <w:tc>
          <w:tcPr>
            <w:tcW w:type="dxa" w:w="324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EXPORT_TARGET_IN_USE</w:t>
            </w:r>
          </w:p>
        </w:tc>
        <w:tc>
          <w:tcPr>
            <w:tcW w:type="dxa" w:w="61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导出目标正在被其他程序占用</w:t>
            </w:r>
          </w:p>
        </w:tc>
      </w:tr>
      <w:tr>
        <w:tc>
          <w:tcPr>
            <w:tcW w:type="dxa" w:w="324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SETTINGS_VALIDATION_FAILED</w:t>
            </w:r>
          </w:p>
        </w:tc>
        <w:tc>
          <w:tcPr>
            <w:tcW w:type="dxa" w:w="61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设置值无效，旧配置保持不变</w:t>
            </w:r>
          </w:p>
        </w:tc>
      </w:tr>
      <w:tr>
        <w:tc>
          <w:tcPr>
            <w:tcW w:type="dxa" w:w="4819"/>
          </w:tcPr>
          <w:p>
            <w:r>
              <w:t>CANDIDATE_UNDO_CONFLICT</w:t>
            </w:r>
          </w:p>
        </w:tc>
        <w:tc>
          <w:tcPr>
            <w:tcW w:type="dxa" w:w="4819"/>
          </w:tcPr>
          <w:p>
            <w:r>
              <w:t>候选采用后已有新编辑，不能静默整体撤销，需进入恢复预览</w:t>
            </w:r>
          </w:p>
        </w:tc>
      </w:tr>
    </w:tbl>
    <w:p>
      <w:pPr>
        <w:pStyle w:val="Heading1"/>
        <w:keepNext/>
      </w:pPr>
      <w:r>
        <w:t>14. 测试与验收</w:t>
      </w:r>
    </w:p>
    <w:p>
      <w:pPr>
        <w:pStyle w:val="Heading2"/>
        <w:keepNext/>
      </w:pPr>
      <w:r>
        <w:t>14.1 测试层级</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层级</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覆盖</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单元测试</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领域不变量、Hash、Revision、锁定保护、Schema解析</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集成测试</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SQLite事务、IPC、Provider Stub、Candidate接受、备份</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E2E</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创建项目到导出完整流程</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故障测试</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模型超时、流中断、应用强退、迁移失败、备份失败</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长篇压力测试</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大量章节、文本块、人物和状态下的打开、搜索与保存</w:t>
            </w:r>
          </w:p>
        </w:tc>
      </w:tr>
    </w:tbl>
    <w:p>
      <w:pPr>
        <w:pStyle w:val="Heading2"/>
        <w:keepNext/>
      </w:pPr>
      <w:r>
        <w:t>14.2 P0验收用例</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blHeader w:val="true"/>
          <w:tblHeader w:val="true"/>
          <w:tblHeader w:val="true"/>
          <w:tblHeader w:val="true"/>
          <w:tblHeader w:val="true"/>
          <w:tblHeader w:val="true"/>
          <w:tblHeader w:val="true"/>
        </w:trPr>
        <w:tc>
          <w:tcPr>
            <w:tcW w:type="dxa" w:w="1296"/>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before="40" w:after="0"/>
              <w:jc w:val="center"/>
            </w:pPr>
            <w:r>
              <w:rPr>
                <w:rFonts w:ascii="Noto Sans CJK SC" w:hAnsi="Noto Sans CJK SC" w:eastAsia="Noto Sans CJK SC"/>
                <w:b/>
                <w:color w:val="1F2937"/>
                <w:sz w:val="18"/>
              </w:rPr>
              <w:t>编号</w:t>
            </w:r>
          </w:p>
        </w:tc>
        <w:tc>
          <w:tcPr>
            <w:tcW w:type="dxa" w:w="7704"/>
            <w:shd w:fill="EAF0FF"/>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before="40" w:after="0"/>
              <w:jc w:val="center"/>
            </w:pPr>
            <w:r>
              <w:rPr>
                <w:rFonts w:ascii="Noto Sans CJK SC" w:hAnsi="Noto Sans CJK SC" w:eastAsia="Noto Sans CJK SC"/>
                <w:b/>
                <w:color w:val="1F2937"/>
                <w:sz w:val="18"/>
              </w:rPr>
              <w:t>验收条件</w:t>
            </w:r>
          </w:p>
        </w:tc>
      </w:tr>
      <w:tr>
        <w:trPr>
          <w:cantSplit/>
        </w:trPr>
        <w:tc>
          <w:tcPr>
            <w:tcW w:type="dxa" w:w="1296"/>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P0-01</w:t>
            </w:r>
          </w:p>
        </w:tc>
        <w:tc>
          <w:tcPr>
            <w:tcW w:type="dxa" w:w="7704"/>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任何AI操作后，锁定块文本与logicalBlockId保持不变</w:t>
            </w:r>
          </w:p>
        </w:tc>
      </w:tr>
      <w:tr>
        <w:trPr>
          <w:cantSplit/>
        </w:trPr>
        <w:tc>
          <w:tcPr>
            <w:tcW w:type="dxa" w:w="1296"/>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P0-02</w:t>
            </w:r>
          </w:p>
        </w:tc>
        <w:tc>
          <w:tcPr>
            <w:tcW w:type="dxa" w:w="7704"/>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用户编辑后接受旧候选时返回REVISION_CONFLICT，不覆盖当前稿</w:t>
            </w:r>
          </w:p>
        </w:tc>
      </w:tr>
      <w:tr>
        <w:trPr>
          <w:cantSplit/>
        </w:trPr>
        <w:tc>
          <w:tcPr>
            <w:tcW w:type="dxa" w:w="1296"/>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P0-03</w:t>
            </w:r>
          </w:p>
        </w:tc>
        <w:tc>
          <w:tcPr>
            <w:tcW w:type="dxa" w:w="7704"/>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应用强制退出后，最近成功提交的Draft可以恢复</w:t>
            </w:r>
          </w:p>
        </w:tc>
      </w:tr>
      <w:tr>
        <w:trPr>
          <w:cantSplit/>
        </w:trPr>
        <w:tc>
          <w:tcPr>
            <w:tcW w:type="dxa" w:w="1296"/>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P0-04</w:t>
            </w:r>
          </w:p>
        </w:tc>
        <w:tc>
          <w:tcPr>
            <w:tcW w:type="dxa" w:w="7704"/>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Version创建后没有业务接口可以修改其内容</w:t>
            </w:r>
          </w:p>
        </w:tc>
      </w:tr>
      <w:tr>
        <w:trPr>
          <w:cantSplit/>
        </w:trPr>
        <w:tc>
          <w:tcPr>
            <w:tcW w:type="dxa" w:w="1296"/>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P0-05</w:t>
            </w:r>
          </w:p>
        </w:tc>
        <w:tc>
          <w:tcPr>
            <w:tcW w:type="dxa" w:w="7704"/>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状态提案未确认前不得进入权威EntityState</w:t>
            </w:r>
          </w:p>
        </w:tc>
      </w:tr>
      <w:tr>
        <w:trPr>
          <w:cantSplit/>
        </w:trPr>
        <w:tc>
          <w:tcPr>
            <w:tcW w:type="dxa" w:w="1296"/>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P0-06</w:t>
            </w:r>
          </w:p>
        </w:tc>
        <w:tc>
          <w:tcPr>
            <w:tcW w:type="dxa" w:w="7704"/>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旧章节重新定稿后，后续尾快照被标记stale，正文不自动改变</w:t>
            </w:r>
          </w:p>
        </w:tc>
      </w:tr>
      <w:tr>
        <w:trPr>
          <w:cantSplit/>
        </w:trPr>
        <w:tc>
          <w:tcPr>
            <w:tcW w:type="dxa" w:w="1296"/>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P0-07</w:t>
            </w:r>
          </w:p>
        </w:tc>
        <w:tc>
          <w:tcPr>
            <w:tcW w:type="dxa" w:w="7704"/>
            <w:vAlign w:val="center"/>
            <w:tcMar>
              <w:top w:w="90" w:type="dxa"/>
              <w:start w:w="110" w:type="dxa"/>
              <w:bottom w:w="90" w:type="dxa"/>
              <w:end w:w="110" w:type="dxa"/>
            </w:tcMar>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备份恢复到新目录后，正文、版本、设定和附件Hash一致</w:t>
            </w:r>
          </w:p>
        </w:tc>
      </w:tr>
      <w:tr>
        <w:trPr>
          <w:cantSplit/>
        </w:trPr>
        <w:tc>
          <w:tcPr>
            <w:tcW w:type="dxa" w:w="1296"/>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P0-08</w:t>
            </w:r>
          </w:p>
        </w:tc>
        <w:tc>
          <w:tcPr>
            <w:tcW w:type="dxa" w:w="7704"/>
            <w:vAlign w:val="center"/>
            <w:tcMar>
              <w:top w:w="90" w:type="dxa"/>
              <w:start w:w="110" w:type="dxa"/>
              <w:bottom w:w="90" w:type="dxa"/>
              <w:end w:w="110" w:type="dxa"/>
            </w:tcMar>
            <w:shd w:fill="F8FAFD"/>
            <w:tcBorders>
              <w:top w:val="single" w:sz="4" w:color="D9DEE7"/>
              <w:left w:val="single" w:sz="4" w:color="D9DEE7"/>
              <w:bottom w:val="single" w:sz="4" w:color="D9DEE7"/>
              <w:right w:val="single" w:sz="4" w:color="D9DEE7"/>
            </w:tcBorders>
          </w:tcPr>
          <w:p>
            <w:pPr>
              <w:spacing w:after="0" w:line="264" w:lineRule="auto" w:before="40"/>
            </w:pPr>
            <w:r>
              <w:rPr>
                <w:rFonts w:ascii="Noto Sans CJK SC" w:hAnsi="Noto Sans CJK SC" w:eastAsia="Noto Sans CJK SC"/>
                <w:color w:val="243447"/>
                <w:sz w:val="18"/>
              </w:rPr>
              <w:t>相同requestId重复提交只执行一次；新requestId可以重新生成</w:t>
            </w:r>
          </w:p>
        </w:tc>
      </w:tr>
      <w:tr>
        <w:trPr>
          <w:cantSplit/>
        </w:trPr>
        <w:tc>
          <w:tcPr>
            <w:tcW w:type="dxa" w:w="129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P0-09</w:t>
            </w:r>
          </w:p>
        </w:tc>
        <w:tc>
          <w:tcPr>
            <w:tcW w:type="dxa" w:w="770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新手模式从启动到进入第一章的可用路径不超过五分钟</w:t>
            </w:r>
          </w:p>
        </w:tc>
      </w:tr>
      <w:tr>
        <w:trPr>
          <w:cantSplit/>
        </w:trPr>
        <w:tc>
          <w:tcPr>
            <w:tcW w:type="dxa" w:w="129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P0-10</w:t>
            </w:r>
          </w:p>
        </w:tc>
        <w:tc>
          <w:tcPr>
            <w:tcW w:type="dxa" w:w="770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专业模式允许跳过规划和AI步骤，直接创建章节并写作</w:t>
            </w:r>
          </w:p>
        </w:tc>
      </w:tr>
      <w:tr>
        <w:trPr>
          <w:cantSplit/>
        </w:trPr>
        <w:tc>
          <w:tcPr>
            <w:tcW w:type="dxa" w:w="1296"/>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P0-11</w:t>
            </w:r>
          </w:p>
        </w:tc>
        <w:tc>
          <w:tcPr>
            <w:tcW w:type="dxa" w:w="7704"/>
            <w:vAlign w:val="center"/>
            <w:tcBorders>
              <w:top w:val="single" w:sz="4" w:color="D9DEE7"/>
              <w:left w:val="single" w:sz="4" w:color="D9DEE7"/>
              <w:bottom w:val="single" w:sz="4" w:color="D9DEE7"/>
              <w:right w:val="single" w:sz="4" w:color="D9DEE7"/>
            </w:tcBorders>
            <w:tcMar>
              <w:top w:w="90" w:type="dxa"/>
              <w:start w:w="110" w:type="dxa"/>
              <w:bottom w:w="90" w:type="dxa"/>
              <w:end w:w="110" w:type="dxa"/>
            </w:tcMar>
          </w:tcPr>
          <w:p>
            <w:pPr>
              <w:spacing w:before="40" w:after="0"/>
            </w:pPr>
            <w:r>
              <w:rPr>
                <w:rFonts w:ascii="Noto Sans CJK SC" w:hAnsi="Noto Sans CJK SC" w:eastAsia="Noto Sans CJK SC"/>
                <w:sz w:val="18"/>
              </w:rPr>
              <w:t>候选对比支持逐段采用，冲突处理不覆盖当前稿</w:t>
            </w:r>
          </w:p>
        </w:tc>
      </w:tr>
      <w:tr>
        <w:trPr>
          <w:cantSplit/>
        </w:trPr>
        <w:tc>
          <w:tcPr>
            <w:tcW w:type="dxa" w:w="1296"/>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P0-12</w:t>
            </w:r>
          </w:p>
        </w:tc>
        <w:tc>
          <w:tcPr>
            <w:tcW w:type="dxa" w:w="7704"/>
            <w:vAlign w:val="center"/>
            <w:tcBorders>
              <w:top w:val="single" w:sz="4" w:color="D9DEE7"/>
              <w:left w:val="single" w:sz="4" w:color="D9DEE7"/>
              <w:bottom w:val="single" w:sz="4" w:color="D9DEE7"/>
              <w:right w:val="single" w:sz="4" w:color="D9DEE7"/>
            </w:tcBorders>
            <w:shd w:fill="F8FAFD"/>
            <w:tcMar>
              <w:top w:w="90" w:type="dxa"/>
              <w:start w:w="110" w:type="dxa"/>
              <w:bottom w:w="90" w:type="dxa"/>
              <w:end w:w="110" w:type="dxa"/>
            </w:tcMar>
          </w:tcPr>
          <w:p>
            <w:pPr>
              <w:spacing w:before="40" w:after="0"/>
            </w:pPr>
            <w:r>
              <w:rPr>
                <w:rFonts w:ascii="Noto Sans CJK SC" w:hAnsi="Noto Sans CJK SC" w:eastAsia="Noto Sans CJK SC"/>
                <w:sz w:val="18"/>
              </w:rPr>
              <w:t>模型不可用时本地编辑、搜索、版本和导出保持可用</w:t>
            </w:r>
          </w:p>
        </w:tc>
      </w:tr>
      <w:tr>
        <w:trPr>
          <w:cantSplit/>
        </w:trPr>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P0-13</w:t>
            </w:r>
          </w:p>
        </w:tc>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调整已写场景顺序时，未经明确确认不得移动、删除或改写关联正文块</w:t>
            </w:r>
          </w:p>
        </w:tc>
      </w:tr>
      <w:tr>
        <w:trPr>
          <w:cantSplit/>
        </w:trPr>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P0-14</w:t>
            </w:r>
          </w:p>
        </w:tc>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章节拆分、合并和跨章移动在单事务内完成，原不可变Version保持可读取</w:t>
            </w:r>
          </w:p>
        </w:tc>
      </w:tr>
      <w:tr>
        <w:trPr>
          <w:cantSplit/>
        </w:trPr>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P0-15</w:t>
            </w:r>
          </w:p>
        </w:tc>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已有作品导入在确认前不写入项目；预览中可修正章节边界和标题</w:t>
            </w:r>
          </w:p>
        </w:tc>
      </w:tr>
      <w:tr>
        <w:trPr>
          <w:cantSplit/>
        </w:trPr>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P0-16</w:t>
            </w:r>
          </w:p>
        </w:tc>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AI运行期间切换页面不取消任务；取消或失败不得修改Draft</w:t>
            </w:r>
          </w:p>
        </w:tc>
      </w:tr>
      <w:tr>
        <w:trPr>
          <w:cantSplit/>
        </w:trPr>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P0-17</w:t>
            </w:r>
          </w:p>
        </w:tc>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Candidate比较优先按logicalBlockId和Hash匹配，无法可靠匹配时进入人工冲突处理</w:t>
            </w:r>
          </w:p>
        </w:tc>
      </w:tr>
      <w:tr>
        <w:trPr>
          <w:cantSplit/>
        </w:trPr>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P0-18</w:t>
            </w:r>
          </w:p>
        </w:tc>
        <w:tc>
          <w:tcPr>
            <w:tcW w:type="dxa" w:w="4819"/>
            <w:vAlign w:val="center"/>
            <w:tcMar>
              <w:top w:w="90" w:type="dxa"/>
              <w:start w:w="110" w:type="dxa"/>
              <w:bottom w:w="90" w:type="dxa"/>
              <w:end w:w="110" w:type="dxa"/>
            </w:tcMar>
            <w:shd w:fill="F8FAFD"/>
          </w:tcPr>
          <w:p>
            <w:pPr>
              <w:spacing w:after="0"/>
            </w:pPr>
            <w:r>
              <w:rPr>
                <w:rFonts w:ascii="Noto Sans CJK SC" w:hAnsi="Noto Sans CJK SC" w:eastAsia="Noto Sans CJK SC"/>
                <w:sz w:val="18"/>
              </w:rPr>
              <w:t>项目词典和基础校对离线可用，检查结果不得自动替换正文</w:t>
            </w:r>
          </w:p>
        </w:tc>
      </w:tr>
      <w:tr>
        <w:trPr>
          <w:cantSplit/>
        </w:trPr>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P0-19</w:t>
            </w:r>
          </w:p>
        </w:tc>
        <w:tc>
          <w:tcPr>
            <w:tcW w:type="dxa" w:w="4819"/>
            <w:vAlign w:val="center"/>
            <w:tcMar>
              <w:top w:w="90" w:type="dxa"/>
              <w:start w:w="110" w:type="dxa"/>
              <w:bottom w:w="90" w:type="dxa"/>
              <w:end w:w="110" w:type="dxa"/>
            </w:tcMar>
          </w:tcPr>
          <w:p>
            <w:pPr>
              <w:spacing w:after="0"/>
            </w:pPr>
            <w:r>
              <w:rPr>
                <w:rFonts w:ascii="Noto Sans CJK SC" w:hAnsi="Noto Sans CJK SC" w:eastAsia="Noto Sans CJK SC"/>
                <w:sz w:val="18"/>
              </w:rPr>
              <w:t>校验静音只改变展示与后续提示，不删除历史问题和正文锚点</w:t>
            </w:r>
          </w:p>
        </w:tc>
      </w:tr>
    </w:tbl>
    <w:p>
      <w:pPr>
        <w:pStyle w:val="Heading2"/>
        <w:keepNext/>
      </w:pPr>
      <w:r>
        <w:t>14.3 AI质量基线</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指标</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首版建议</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必选节拍覆盖率</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≥95%</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禁止信息泄露率</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≤2%</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状态提案证据有效率</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≥90%</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高风险连续性问题精确率</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≥75%</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校验锚点准确率</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≥90%</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锁定块破坏率</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0%</w:t>
            </w:r>
          </w:p>
        </w:tc>
      </w:tr>
      <w:tr>
        <w:tc>
          <w:tcPr>
            <w:tcW w:type="dxa" w:w="4819"/>
            <w:vAlign w:val="center"/>
          </w:tcPr>
          <w:p>
            <w:pPr>
              <w:spacing w:after="0"/>
            </w:pPr>
            <w:r/>
            <w:r>
              <w:rPr>
                <w:b w:val="0"/>
              </w:rPr>
              <w:t>核心事件执行率</w:t>
            </w:r>
          </w:p>
        </w:tc>
        <w:tc>
          <w:tcPr>
            <w:tcW w:type="dxa" w:w="4819"/>
            <w:vAlign w:val="center"/>
          </w:tcPr>
          <w:p>
            <w:pPr>
              <w:spacing w:after="0"/>
            </w:pPr>
            <w:r/>
            <w:r>
              <w:rPr>
                <w:b w:val="0"/>
              </w:rPr>
              <w:t>≥95%</w:t>
            </w:r>
          </w:p>
        </w:tc>
      </w:tr>
      <w:tr>
        <w:tc>
          <w:tcPr>
            <w:tcW w:type="dxa" w:w="4819"/>
            <w:vAlign w:val="center"/>
          </w:tcPr>
          <w:p>
            <w:pPr>
              <w:spacing w:after="0"/>
            </w:pPr>
            <w:r/>
            <w:r>
              <w:rPr>
                <w:b w:val="0"/>
              </w:rPr>
              <w:t>T0骨架因果成立率</w:t>
            </w:r>
          </w:p>
        </w:tc>
        <w:tc>
          <w:tcPr>
            <w:tcW w:type="dxa" w:w="4819"/>
            <w:vAlign w:val="center"/>
          </w:tcPr>
          <w:p>
            <w:pPr>
              <w:spacing w:after="0"/>
            </w:pPr>
            <w:r/>
            <w:r>
              <w:rPr>
                <w:b w:val="0"/>
              </w:rPr>
              <w:t>≥90%</w:t>
            </w:r>
          </w:p>
        </w:tc>
      </w:tr>
      <w:tr>
        <w:tc>
          <w:tcPr>
            <w:tcW w:type="dxa" w:w="4819"/>
            <w:vAlign w:val="center"/>
          </w:tcPr>
          <w:p>
            <w:pPr>
              <w:spacing w:after="0"/>
            </w:pPr>
            <w:r/>
            <w:r>
              <w:rPr>
                <w:b w:val="0"/>
              </w:rPr>
              <w:t>T1与选定骨架一致率</w:t>
            </w:r>
          </w:p>
        </w:tc>
        <w:tc>
          <w:tcPr>
            <w:tcW w:type="dxa" w:w="4819"/>
            <w:vAlign w:val="center"/>
          </w:tcPr>
          <w:p>
            <w:pPr>
              <w:spacing w:after="0"/>
            </w:pPr>
            <w:r/>
            <w:r>
              <w:rPr>
                <w:b w:val="0"/>
              </w:rPr>
              <w:t>≥90%</w:t>
            </w:r>
          </w:p>
        </w:tc>
      </w:tr>
      <w:tr>
        <w:tc>
          <w:tcPr>
            <w:tcW w:type="dxa" w:w="4819"/>
            <w:vAlign w:val="center"/>
          </w:tcPr>
          <w:p>
            <w:pPr>
              <w:spacing w:after="0"/>
            </w:pPr>
            <w:r/>
            <w:r>
              <w:rPr>
                <w:b w:val="0"/>
              </w:rPr>
              <w:t>正文新增关键设定冲突率</w:t>
            </w:r>
          </w:p>
        </w:tc>
        <w:tc>
          <w:tcPr>
            <w:tcW w:type="dxa" w:w="4819"/>
            <w:vAlign w:val="center"/>
          </w:tcPr>
          <w:p>
            <w:pPr>
              <w:spacing w:after="0"/>
            </w:pPr>
            <w:r/>
            <w:r>
              <w:rPr>
                <w:b w:val="0"/>
              </w:rPr>
              <w:t>≤3%</w:t>
            </w:r>
          </w:p>
        </w:tc>
      </w:tr>
      <w:tr>
        <w:tc>
          <w:tcPr>
            <w:tcW w:type="dxa" w:w="4819"/>
            <w:vAlign w:val="center"/>
          </w:tcPr>
          <w:p>
            <w:pPr>
              <w:spacing w:after="0"/>
            </w:pPr>
            <w:r/>
            <w:r>
              <w:rPr>
                <w:b w:val="0"/>
              </w:rPr>
              <w:t>三个T0骨架真实差异率</w:t>
            </w:r>
          </w:p>
        </w:tc>
        <w:tc>
          <w:tcPr>
            <w:tcW w:type="dxa" w:w="4819"/>
            <w:vAlign w:val="center"/>
          </w:tcPr>
          <w:p>
            <w:pPr>
              <w:spacing w:after="0"/>
            </w:pPr>
            <w:r/>
            <w:r>
              <w:rPr>
                <w:b w:val="0"/>
              </w:rPr>
              <w:t>≥70%</w:t>
            </w:r>
          </w:p>
        </w:tc>
      </w:tr>
      <w:tr>
        <w:tc>
          <w:tcPr>
            <w:tcW w:type="dxa" w:w="4819"/>
            <w:vAlign w:val="center"/>
          </w:tcPr>
          <w:p>
            <w:pPr>
              <w:spacing w:after="0"/>
            </w:pPr>
            <w:r/>
            <w:r>
              <w:rPr>
                <w:b w:val="0"/>
              </w:rPr>
              <w:t>无效重复生成率</w:t>
            </w:r>
          </w:p>
        </w:tc>
        <w:tc>
          <w:tcPr>
            <w:tcW w:type="dxa" w:w="4819"/>
            <w:vAlign w:val="center"/>
          </w:tcPr>
          <w:p>
            <w:pPr>
              <w:spacing w:after="0"/>
            </w:pPr>
            <w:r/>
            <w:r>
              <w:rPr>
                <w:b w:val="0"/>
              </w:rPr>
              <w:t>≤10%</w:t>
            </w:r>
          </w:p>
        </w:tc>
      </w:tr>
    </w:tbl>
    <w:tbl>
      <w:tblPr>
        <w:tblW w:type="auto" w:w="0"/>
        <w:tblLayout w:type="autofit"/>
        <w:tblLook w:firstColumn="1" w:firstRow="1" w:lastColumn="0" w:lastRow="0" w:noHBand="0" w:noVBand="1" w:val="04A0"/>
        <w:jc w:val="center"/>
        <w:tblBorders>
          <w:top w:val="single" w:sz="8" w:space="0" w:color="316EB6"/>
          <w:left w:val="single" w:sz="8" w:space="0" w:color="316EB6"/>
          <w:bottom w:val="single" w:sz="8" w:space="0" w:color="316EB6"/>
          <w:right w:val="single" w:sz="8" w:space="0" w:color="316EB6"/>
          <w:insideH w:val="single" w:sz="8" w:space="0" w:color="316EB6"/>
          <w:insideV w:val="single" w:sz="8" w:space="0" w:color="316EB6"/>
        </w:tblBorders>
      </w:tblPr>
      <w:tblGrid>
        <w:gridCol w:w="9638"/>
      </w:tblGrid>
      <w:tr>
        <w:tc>
          <w:tcPr>
            <w:tcW w:type="dxa" w:w="9638"/>
            <w:shd w:fill="F8FAFD"/>
            <w:tcMar>
              <w:top w:w="90" w:type="dxa"/>
              <w:start w:w="110" w:type="dxa"/>
              <w:bottom w:w="90" w:type="dxa"/>
              <w:end w:w="110" w:type="dxa"/>
            </w:tcMar>
            <w:vAlign w:val="center"/>
          </w:tcPr>
          <w:p>
            <w:pPr>
              <w:spacing w:after="0"/>
            </w:pPr>
            <w:r>
              <w:rPr>
                <w:rFonts w:ascii="Noto Sans CJK SC" w:hAnsi="Noto Sans CJK SC" w:eastAsia="Noto Sans CJK SC"/>
                <w:b/>
                <w:color w:val="316EB6"/>
                <w:sz w:val="18"/>
              </w:rPr>
              <w:t>评测原则：</w:t>
            </w:r>
            <w:r>
              <w:rPr>
                <w:rFonts w:ascii="Noto Sans CJK SC" w:hAnsi="Noto Sans CJK SC" w:eastAsia="Noto Sans CJK SC"/>
                <w:color w:val="25364A"/>
                <w:sz w:val="18"/>
              </w:rPr>
              <w:t>数字是首版工程门槛，不是对文学质量的自动判决。Prompt或模型升级必须通过同一组本地回归样本。</w:t>
            </w:r>
          </w:p>
        </w:tc>
        <w:trPr>
          <w:tblHeader/>
          <w:cantSplit/>
        </w:trPr>
      </w:tr>
    </w:tbl>
    <w:p>
      <w:pPr>
        <w:pStyle w:val="Heading2"/>
      </w:pPr>
      <w:r>
        <w:t>14.4 体验风险验收与实验门槛</w:t>
      </w:r>
    </w:p>
    <w:tbl>
      <w:tblPr>
        <w:tblW w:type="auto" w:w="0"/>
        <w:tblLook w:firstColumn="1" w:firstRow="1" w:lastColumn="0" w:lastRow="0" w:noHBand="0" w:noVBand="1" w:val="04A0"/>
      </w:tblPr>
      <w:tblGrid>
        <w:gridCol w:w="2409"/>
        <w:gridCol w:w="2409"/>
        <w:gridCol w:w="2409"/>
        <w:gridCol w:w="2409"/>
      </w:tblGrid>
      <w:tr>
        <w:tc>
          <w:tcPr>
            <w:tcW w:type="dxa" w:w="1152"/>
          </w:tcPr>
          <w:p>
            <w:r>
              <w:t>编号</w:t>
            </w:r>
          </w:p>
        </w:tc>
        <w:tc>
          <w:tcPr>
            <w:tcW w:type="dxa" w:w="2880"/>
          </w:tcPr>
          <w:p>
            <w:r>
              <w:t>验收项</w:t>
            </w:r>
          </w:p>
        </w:tc>
        <w:tc>
          <w:tcPr>
            <w:tcW w:type="dxa" w:w="6048"/>
          </w:tcPr>
          <w:p>
            <w:r>
              <w:t>通过标准</w:t>
            </w:r>
          </w:p>
        </w:tc>
        <w:tc>
          <w:tcPr>
            <w:tcW w:type="dxa" w:w="1584"/>
          </w:tcPr>
          <w:p>
            <w:r>
              <w:t>阶段</w:t>
            </w:r>
          </w:p>
        </w:tc>
        <w:trPr>
          <w:tblHeader/>
        </w:trPr>
      </w:tr>
      <w:tr>
        <w:tc>
          <w:tcPr>
            <w:tcW w:type="dxa" w:w="1152"/>
          </w:tcPr>
          <w:p>
            <w:r>
              <w:t>UX-14</w:t>
            </w:r>
          </w:p>
        </w:tc>
        <w:tc>
          <w:tcPr>
            <w:tcW w:type="dxa" w:w="2880"/>
          </w:tcPr>
          <w:p>
            <w:r>
              <w:t>单段快速改写</w:t>
            </w:r>
          </w:p>
        </w:tc>
        <w:tc>
          <w:tcPr>
            <w:tcW w:type="dxa" w:w="6048"/>
          </w:tcPr>
          <w:p>
            <w:r>
              <w:t>选中一个自然段后，从发起到应用完成不超过2次点击；Ctrl+Z可完整撤回；锁定块始终不变</w:t>
            </w:r>
          </w:p>
        </w:tc>
        <w:tc>
          <w:tcPr>
            <w:tcW w:type="dxa" w:w="1584"/>
          </w:tcPr>
          <w:p>
            <w:r>
              <w:t>V1 P0</w:t>
            </w:r>
          </w:p>
        </w:tc>
      </w:tr>
      <w:tr>
        <w:tc>
          <w:tcPr>
            <w:tcW w:type="dxa" w:w="1152"/>
          </w:tcPr>
          <w:p>
            <w:r>
              <w:t>UX-15</w:t>
            </w:r>
          </w:p>
        </w:tc>
        <w:tc>
          <w:tcPr>
            <w:tcW w:type="dxa" w:w="2880"/>
          </w:tcPr>
          <w:p>
            <w:r>
              <w:t>人物状态快速查看</w:t>
            </w:r>
          </w:p>
        </w:tc>
        <w:tc>
          <w:tcPr>
            <w:tcW w:type="dxa" w:w="6048"/>
          </w:tcPr>
          <w:p>
            <w:r>
              <w:t>无需切换标签即可看到当前场景核心人物状态；是否正式实现由原型测试决定</w:t>
            </w:r>
          </w:p>
        </w:tc>
        <w:tc>
          <w:tcPr>
            <w:tcW w:type="dxa" w:w="1584"/>
          </w:tcPr>
          <w:p>
            <w:r>
              <w:t>原型实验</w:t>
            </w:r>
          </w:p>
        </w:tc>
      </w:tr>
      <w:tr>
        <w:tc>
          <w:tcPr>
            <w:tcW w:type="dxa" w:w="1152"/>
          </w:tcPr>
          <w:p>
            <w:r>
              <w:t>UX-16</w:t>
            </w:r>
          </w:p>
        </w:tc>
        <w:tc>
          <w:tcPr>
            <w:tcW w:type="dxa" w:w="2880"/>
          </w:tcPr>
          <w:p>
            <w:r>
              <w:t>首页提醒数量</w:t>
            </w:r>
          </w:p>
        </w:tc>
        <w:tc>
          <w:tcPr>
            <w:tcW w:type="dxa" w:w="6048"/>
          </w:tcPr>
          <w:p>
            <w:r>
              <w:t>首页同一时刻最多显示2条主动提示，其余可展开查看</w:t>
            </w:r>
          </w:p>
        </w:tc>
        <w:tc>
          <w:tcPr>
            <w:tcW w:type="dxa" w:w="1584"/>
          </w:tcPr>
          <w:p>
            <w:r>
              <w:t>V1 P0</w:t>
            </w:r>
          </w:p>
        </w:tc>
      </w:tr>
      <w:tr>
        <w:tc>
          <w:tcPr>
            <w:tcW w:type="dxa" w:w="1152"/>
          </w:tcPr>
          <w:p>
            <w:r>
              <w:t>UX-17</w:t>
            </w:r>
          </w:p>
        </w:tc>
        <w:tc>
          <w:tcPr>
            <w:tcW w:type="dxa" w:w="2880"/>
          </w:tcPr>
          <w:p>
            <w:r>
              <w:t>新手空白页支撑</w:t>
            </w:r>
          </w:p>
        </w:tc>
        <w:tc>
          <w:tcPr>
            <w:tcW w:type="dxa" w:w="6048"/>
          </w:tcPr>
          <w:p>
            <w:r>
              <w:t>跳过关键向导步骤后进入第一章，可在不受阻断的前提下看到可关闭脚手架</w:t>
            </w:r>
          </w:p>
        </w:tc>
        <w:tc>
          <w:tcPr>
            <w:tcW w:type="dxa" w:w="1584"/>
          </w:tcPr>
          <w:p>
            <w:r>
              <w:t>V1 P0</w:t>
            </w:r>
          </w:p>
        </w:tc>
      </w:tr>
      <w:tr>
        <w:tc>
          <w:tcPr>
            <w:tcW w:type="dxa" w:w="1152"/>
          </w:tcPr>
          <w:p>
            <w:r>
              <w:t>UX-18</w:t>
            </w:r>
          </w:p>
        </w:tc>
        <w:tc>
          <w:tcPr>
            <w:tcW w:type="dxa" w:w="2880"/>
          </w:tcPr>
          <w:p>
            <w:r>
              <w:t>确认质量保护</w:t>
            </w:r>
          </w:p>
        </w:tc>
        <w:tc>
          <w:tcPr>
            <w:tcW w:type="dxa" w:w="6048"/>
          </w:tcPr>
          <w:p>
            <w:r>
              <w:t>仅在真实两周测试证明机械确认明显存在后启用；默认关闭且可清除计数</w:t>
            </w:r>
          </w:p>
        </w:tc>
        <w:tc>
          <w:tcPr>
            <w:tcW w:type="dxa" w:w="1584"/>
          </w:tcPr>
          <w:p>
            <w:r>
              <w:t>后验实验</w:t>
            </w:r>
          </w:p>
        </w:tc>
      </w:tr>
    </w:tbl>
    <w:p>
      <w:pPr/>
      <w:r>
        <w:t>实验项不得以“未来可能有用”为理由直接进入正式数据模型。未通过原型或两周真实使用验证时，只保留设计记录，不进入首版实现。</w:t>
      </w:r>
    </w:p>
    <w:p>
      <w:pPr>
        <w:pStyle w:val="Heading1"/>
        <w:keepNext/>
      </w:pPr>
      <w:r>
        <w:t>15. 开发路线图与AI编程规则</w:t>
      </w:r>
    </w:p>
    <w:p>
      <w:pPr>
        <w:pStyle w:val="Heading2"/>
        <w:keepNext/>
      </w:pPr>
      <w:r>
        <w:t>15.1 里程碑</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213"/>
        <w:gridCol w:w="3213"/>
        <w:gridCol w:w="3213"/>
      </w:tblGrid>
      <w:tr>
        <w:trPr>
          <w:tblHeader w:val="true"/>
          <w:cantSplit/>
          <w:tblHeader w:val="true"/>
          <w:tblHeader w:val="true"/>
          <w:tblHeader w:val="true"/>
        </w:trPr>
        <w:tc>
          <w:tcPr>
            <w:tcW w:type="dxa" w:w="1656"/>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jc w:val="center"/>
            </w:pPr>
            <w:r>
              <w:rPr>
                <w:rFonts w:ascii="Noto Sans CJK SC" w:hAnsi="Noto Sans CJK SC" w:eastAsia="Noto Sans CJK SC"/>
                <w:b/>
                <w:color w:val="1C2F2B"/>
                <w:sz w:val="17"/>
              </w:rPr>
              <w:t>阶段</w:t>
            </w:r>
          </w:p>
        </w:tc>
        <w:tc>
          <w:tcPr>
            <w:tcW w:type="dxa" w:w="5040"/>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jc w:val="center"/>
            </w:pPr>
            <w:r>
              <w:rPr>
                <w:rFonts w:ascii="Noto Sans CJK SC" w:hAnsi="Noto Sans CJK SC" w:eastAsia="Noto Sans CJK SC"/>
                <w:b/>
                <w:color w:val="1C2F2B"/>
                <w:sz w:val="17"/>
              </w:rPr>
              <w:t>交付</w:t>
            </w:r>
          </w:p>
        </w:tc>
        <w:tc>
          <w:tcPr>
            <w:tcW w:type="dxa" w:w="2880"/>
            <w:shd w:fill="DCE6E2"/>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jc w:val="center"/>
            </w:pPr>
            <w:r>
              <w:rPr>
                <w:rFonts w:ascii="Noto Sans CJK SC" w:hAnsi="Noto Sans CJK SC" w:eastAsia="Noto Sans CJK SC"/>
                <w:b/>
                <w:color w:val="1C2F2B"/>
                <w:sz w:val="17"/>
              </w:rPr>
              <w:t>退出条件</w:t>
            </w:r>
          </w:p>
        </w:tc>
      </w:tr>
      <w:tr>
        <w:tc>
          <w:tcPr>
            <w:tcW w:type="dxa" w:w="3213"/>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M0.5 AI质量与高保真交互验证</w:t>
            </w:r>
          </w:p>
        </w:tc>
        <w:tc>
          <w:tcPr>
            <w:tcW w:type="dxa" w:w="3213"/>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T0/T1固定评测集、模型Stub、全屏候选原型、沉浸写作、锁定视觉、真实阶段进度与上下文帮助</w:t>
            </w:r>
          </w:p>
        </w:tc>
        <w:tc>
          <w:tcPr>
            <w:tcW w:type="dxa" w:w="3213"/>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r>
            <w:r>
              <w:rPr>
                <w:rFonts w:ascii="Noto Sans CJK SC" w:hAnsi="Noto Sans CJK SC" w:eastAsia="Noto Sans CJK SC"/>
                <w:b w:val="0"/>
                <w:color w:val="232323"/>
                <w:sz w:val="17"/>
              </w:rPr>
              <w:t>AI基线达到14.3门槛；UX-19至UX-26通过可点击原型测试；未通过项不得进入正式实现</w:t>
            </w:r>
          </w:p>
        </w:tc>
      </w:tr>
      <w:tr>
        <w:trPr>
          <w:cantSplit/>
        </w:trPr>
        <w:tc>
          <w:tcPr>
            <w:tcW w:type="dxa" w:w="1656"/>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M0 基础骨架</w:t>
            </w:r>
          </w:p>
        </w:tc>
        <w:tc>
          <w:tcPr>
            <w:tcW w:type="dxa" w:w="5040"/>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val="0"/>
                <w:color w:val="232323"/>
                <w:sz w:val="17"/>
              </w:rPr>
              <w:t>可点击原型、Monorepo、Electron三层、Core进程、SQLite、IPC、统一设置骨架、基础测试</w:t>
            </w:r>
          </w:p>
        </w:tc>
        <w:tc>
          <w:tcPr>
            <w:tcW w:type="dxa" w:w="2880"/>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完成新手/资深作者核心任务测试；应用可启动，进程通信与迁移测试通过</w:t>
            </w:r>
          </w:p>
        </w:tc>
      </w:tr>
      <w:tr>
        <w:trPr>
          <w:cantSplit/>
        </w:trPr>
        <w:tc>
          <w:tcPr>
            <w:tcW w:type="dxa" w:w="1656"/>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M1 编辑与版本</w:t>
            </w:r>
          </w:p>
        </w:tc>
        <w:tc>
          <w:tcPr>
            <w:tcW w:type="dxa" w:w="5040"/>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val="0"/>
                <w:color w:val="232323"/>
                <w:sz w:val="17"/>
              </w:rPr>
              <w:t>项目、卷章生命周期、回收站、DraftBlock、Tiptap、粘贴与IME规则、锁定、Revision、Version、双模式UI壳和写作工作台</w:t>
            </w:r>
          </w:p>
        </w:tc>
        <w:tc>
          <w:tcPr>
            <w:tcW w:type="dxa" w:w="2880"/>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val="0"/>
                <w:color w:val="232323"/>
                <w:sz w:val="17"/>
              </w:rPr>
              <w:t>P0-01至P0-04、P0-09至P0-10通过</w:t>
            </w:r>
          </w:p>
        </w:tc>
      </w:tr>
      <w:tr>
        <w:trPr>
          <w:cantSplit/>
        </w:trPr>
        <w:tc>
          <w:tcPr>
            <w:tcW w:type="dxa" w:w="1656"/>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M2 规划与连续性</w:t>
            </w:r>
          </w:p>
        </w:tc>
        <w:tc>
          <w:tcPr>
            <w:tcW w:type="dxa" w:w="5040"/>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人物、角色声音、设定、大纲、场景联动、时间线、知情、伏笔、FTS5、项目词典</w:t>
            </w:r>
          </w:p>
        </w:tc>
        <w:tc>
          <w:tcPr>
            <w:tcW w:type="dxa" w:w="2880"/>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约束包可从真实项目数据组装</w:t>
            </w:r>
          </w:p>
        </w:tc>
      </w:tr>
      <w:tr>
        <w:trPr>
          <w:cantSplit/>
        </w:trPr>
        <w:tc>
          <w:tcPr>
            <w:tcW w:type="dxa" w:w="1656"/>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M3 AI候选</w:t>
            </w:r>
          </w:p>
        </w:tc>
        <w:tc>
          <w:tcPr>
            <w:tcW w:type="dxa" w:w="5040"/>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Provider、T0、T1、重写、GenerationRun、任务条、Candidate、块级Diff与冲突处理；全屏候选比较、采用事务撤销、阶段进度</w:t>
            </w:r>
          </w:p>
        </w:tc>
        <w:tc>
          <w:tcPr>
            <w:tcW w:type="dxa" w:w="2880"/>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候选不覆盖Draft，取消、重试、逐段采用和P0-11通过；UX-19、UX-20、UX-22通过</w:t>
            </w:r>
          </w:p>
        </w:tc>
      </w:tr>
      <w:tr>
        <w:trPr>
          <w:cantSplit/>
        </w:trPr>
        <w:tc>
          <w:tcPr>
            <w:tcW w:type="dxa" w:w="1656"/>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M4 回写与校验</w:t>
            </w:r>
          </w:p>
        </w:tc>
        <w:tc>
          <w:tcPr>
            <w:tcW w:type="dxa" w:w="5040"/>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before="0"/>
            </w:pPr>
            <w:r>
              <w:rPr>
                <w:rFonts w:ascii="Noto Sans CJK SC" w:hAnsi="Noto Sans CJK SC" w:eastAsia="Noto Sans CJK SC"/>
                <w:b w:val="0"/>
                <w:color w:val="232323"/>
                <w:sz w:val="17"/>
              </w:rPr>
              <w:t>状态提案、尾快照、失效、连续性、文风校验和校验降噪</w:t>
            </w:r>
          </w:p>
        </w:tc>
        <w:tc>
          <w:tcPr>
            <w:tcW w:type="dxa" w:w="2880"/>
            <w:vAlign w:val="center"/>
            <w:tcMar>
              <w:top w:w="80" w:type="dxa"/>
              <w:start w:w="100" w:type="dxa"/>
              <w:bottom w:w="80" w:type="dxa"/>
              <w:end w:w="100" w:type="dxa"/>
            </w:tcMar>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P0-05至P0-06通过</w:t>
            </w:r>
          </w:p>
        </w:tc>
      </w:tr>
      <w:tr>
        <w:trPr>
          <w:cantSplit/>
        </w:trPr>
        <w:tc>
          <w:tcPr>
            <w:tcW w:type="dxa" w:w="1656"/>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after="0" w:line="264" w:lineRule="auto" w:before="0"/>
            </w:pPr>
            <w:r>
              <w:rPr>
                <w:rFonts w:ascii="Noto Sans CJK SC" w:hAnsi="Noto Sans CJK SC" w:eastAsia="Noto Sans CJK SC"/>
                <w:b w:val="0"/>
                <w:color w:val="232323"/>
                <w:sz w:val="17"/>
              </w:rPr>
              <w:t>M5 交付</w:t>
            </w:r>
          </w:p>
        </w:tc>
        <w:tc>
          <w:tcPr>
            <w:tcW w:type="dxa" w:w="5040"/>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val="0"/>
                <w:color w:val="232323"/>
                <w:sz w:val="17"/>
              </w:rPr>
              <w:t>搜索替换、校对、待办、笔记、导入预览、原子导出、自动备份恢复、字数标准、设置中心、聚焦模式与快捷键</w:t>
            </w:r>
          </w:p>
        </w:tc>
        <w:tc>
          <w:tcPr>
            <w:tcW w:type="dxa" w:w="2880"/>
            <w:vAlign w:val="center"/>
            <w:tcMar>
              <w:top w:w="80" w:type="dxa"/>
              <w:start w:w="100" w:type="dxa"/>
              <w:bottom w:w="80" w:type="dxa"/>
              <w:end w:w="100" w:type="dxa"/>
            </w:tcMar>
            <w:shd w:fill="FAFBFD"/>
            <w:tcBorders>
              <w:top w:val="single" w:sz="4" w:color="D9DEE7"/>
              <w:left w:val="single" w:sz="4" w:color="D9DEE7"/>
              <w:bottom w:val="single" w:sz="4" w:color="D9DEE7"/>
              <w:right w:val="single" w:sz="4" w:color="D9DEE7"/>
            </w:tcBorders>
          </w:tcPr>
          <w:p>
            <w:pPr>
              <w:spacing w:before="0" w:after="0"/>
            </w:pPr>
            <w:r>
              <w:rPr>
                <w:rFonts w:ascii="Noto Sans CJK SC" w:hAnsi="Noto Sans CJK SC" w:eastAsia="Noto Sans CJK SC"/>
                <w:b w:val="0"/>
                <w:color w:val="232323"/>
                <w:sz w:val="17"/>
              </w:rPr>
              <w:t>基础闭环P0用例、P0-07至P0-12和完整E2E全部通过</w:t>
            </w:r>
          </w:p>
        </w:tc>
      </w:tr>
      <w:tr>
        <w:tc>
          <w:tcPr>
            <w:tcW w:type="dxa" w:w="3213"/>
            <w:vAlign w:val="center"/>
            <w:tcMar>
              <w:top w:w="80" w:type="dxa"/>
              <w:start w:w="100" w:type="dxa"/>
              <w:bottom w:w="80" w:type="dxa"/>
              <w:end w:w="100" w:type="dxa"/>
            </w:tcMar>
          </w:tcPr>
          <w:p>
            <w:r>
              <w:t>V1.5：M4A—M4E</w:t>
            </w:r>
          </w:p>
        </w:tc>
        <w:tc>
          <w:tcPr>
            <w:tcW w:type="dxa" w:w="3213"/>
            <w:vAlign w:val="center"/>
            <w:tcMar>
              <w:top w:w="80" w:type="dxa"/>
              <w:start w:w="100" w:type="dxa"/>
              <w:bottom w:w="80" w:type="dxa"/>
              <w:end w:w="100" w:type="dxa"/>
            </w:tcMar>
          </w:tcPr>
          <w:p>
            <w:r>
              <w:t>超长篇自动记忆、卷级检查点、定时AI项目日记与百万字增强</w:t>
            </w:r>
          </w:p>
        </w:tc>
        <w:tc>
          <w:tcPr>
            <w:tcW w:type="dxa" w:w="3213"/>
            <w:vAlign w:val="center"/>
            <w:tcMar>
              <w:top w:w="80" w:type="dxa"/>
              <w:start w:w="100" w:type="dxa"/>
              <w:bottom w:w="80" w:type="dxa"/>
              <w:end w:w="100" w:type="dxa"/>
            </w:tcMar>
          </w:tcPr>
          <w:p>
            <w:r>
              <w:t>V1.0核心写作闭环稳定发布后独立进入；不得阻塞V1.0</w:t>
            </w:r>
          </w:p>
        </w:tc>
      </w:tr>
    </w:tbl>
    <w:p>
      <w:pPr>
        <w:pStyle w:val="Heading2"/>
        <w:keepNext/>
      </w:pPr>
      <w:r>
        <w:t>15.2 AI编程任务格式</w:t>
      </w:r>
    </w:p>
    <w:tbl>
      <w:tblPr>
        <w:tblW w:type="auto" w:w="0"/>
        <w:tblLayout w:type="autofit"/>
        <w:tblLook w:firstColumn="1" w:firstRow="1" w:lastColumn="0" w:lastRow="0" w:noHBand="0" w:noVBand="1" w:val="04A0"/>
        <w:jc w:val="cente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9638"/>
      </w:tblGrid>
      <w:tr>
        <w:tc>
          <w:tcPr>
            <w:tcW w:type="dxa" w:w="9638"/>
            <w:shd w:fill="F8FAFD"/>
            <w:tcMar>
              <w:top w:w="90" w:type="dxa"/>
              <w:start w:w="110" w:type="dxa"/>
              <w:bottom w:w="90" w:type="dxa"/>
              <w:end w:w="110" w:type="dxa"/>
            </w:tcMar>
            <w:vAlign w:val="center"/>
          </w:tcPr>
          <w:p>
            <w:pPr>
              <w:spacing w:after="0" w:line="276" w:lineRule="auto"/>
            </w:pPr>
            <w:r>
              <w:rPr>
                <w:rFonts w:ascii="Noto Sans CJK SC" w:hAnsi="Noto Sans CJK SC" w:eastAsia="Noto Sans CJK SC"/>
                <w:color w:val="243447"/>
                <w:sz w:val="18"/>
              </w:rPr>
              <w:t>任务：实现一个可独立验收的最小功能。</w:t>
              <w:br/>
            </w:r>
            <w:r>
              <w:rPr>
                <w:rFonts w:ascii="Noto Sans CJK SC" w:hAnsi="Noto Sans CJK SC" w:eastAsia="Noto Sans CJK SC"/>
                <w:color w:val="243447"/>
                <w:sz w:val="18"/>
              </w:rPr>
              <w:t>输入：相关Schema、数据库表、接口和不变量。</w:t>
              <w:br/>
            </w:r>
            <w:r>
              <w:rPr>
                <w:rFonts w:ascii="Noto Sans CJK SC" w:hAnsi="Noto Sans CJK SC" w:eastAsia="Noto Sans CJK SC"/>
                <w:color w:val="243447"/>
                <w:sz w:val="18"/>
              </w:rPr>
              <w:t>要求：</w:t>
              <w:br/>
            </w:r>
            <w:r>
              <w:rPr>
                <w:rFonts w:ascii="Noto Sans CJK SC" w:hAnsi="Noto Sans CJK SC" w:eastAsia="Noto Sans CJK SC"/>
                <w:color w:val="243447"/>
                <w:sz w:val="18"/>
              </w:rPr>
              <w:t>1. 先写失败测试。</w:t>
              <w:br/>
            </w:r>
            <w:r>
              <w:rPr>
                <w:rFonts w:ascii="Noto Sans CJK SC" w:hAnsi="Noto Sans CJK SC" w:eastAsia="Noto Sans CJK SC"/>
                <w:color w:val="243447"/>
                <w:sz w:val="18"/>
              </w:rPr>
              <w:t>2. 只修改任务范围内文件。</w:t>
              <w:br/>
            </w:r>
            <w:r>
              <w:rPr>
                <w:rFonts w:ascii="Noto Sans CJK SC" w:hAnsi="Noto Sans CJK SC" w:eastAsia="Noto Sans CJK SC"/>
                <w:color w:val="243447"/>
                <w:sz w:val="18"/>
              </w:rPr>
              <w:t>3. 不添加TODO、空实现或测试专用后门。</w:t>
              <w:br/>
            </w:r>
            <w:r>
              <w:rPr>
                <w:rFonts w:ascii="Noto Sans CJK SC" w:hAnsi="Noto Sans CJK SC" w:eastAsia="Noto Sans CJK SC"/>
                <w:color w:val="243447"/>
                <w:sz w:val="18"/>
              </w:rPr>
              <w:t>4. 运行真实测试并给出命令与结果。</w:t>
              <w:br/>
            </w:r>
            <w:r>
              <w:rPr>
                <w:rFonts w:ascii="Noto Sans CJK SC" w:hAnsi="Noto Sans CJK SC" w:eastAsia="Noto Sans CJK SC"/>
                <w:color w:val="243447"/>
                <w:sz w:val="18"/>
              </w:rPr>
              <w:t>5. 对数据库迁移、锁定、Revision、版本、备份和密钥改动做第二轮复查。</w:t>
              <w:br/>
            </w:r>
            <w:r>
              <w:rPr>
                <w:rFonts w:ascii="Noto Sans CJK SC" w:hAnsi="Noto Sans CJK SC" w:eastAsia="Noto Sans CJK SC"/>
                <w:color w:val="243447"/>
                <w:sz w:val="18"/>
              </w:rPr>
              <w:t>输出：修改文件、设计说明、测试结果、剩余风险。</w:t>
              <w:br/>
            </w:r>
          </w:p>
        </w:tc>
        <w:trPr>
          <w:tblHeader/>
          <w:cantSplit/>
        </w:trPr>
      </w:tr>
    </w:tbl>
    <w:p>
      <w:pPr>
        <w:pStyle w:val="Heading2"/>
        <w:keepNext/>
      </w:pPr>
      <w:r>
        <w:t>15.3 审查强度</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改动类型</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审查要求</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高风险</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数据库迁移、锁定、Revision、候选接受、Version、备份、密钥：必须独立复查</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中风险</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Provider、约束包、状态回写、导入导出：需要集成测试和边界复查</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低风险</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普通UI、文案、只读查询：常规测试即可</w:t>
            </w:r>
          </w:p>
        </w:tc>
      </w:tr>
    </w:tbl>
    <w:p>
      <w:pPr>
        <w:pStyle w:val="Heading2"/>
      </w:pPr>
      <w:r>
        <w:t>15.4 体验优化实施顺序</w:t>
      </w:r>
    </w:p>
    <w:tbl>
      <w:tblPr>
        <w:tblW w:type="auto" w:w="0"/>
        <w:tblLook w:firstColumn="1" w:firstRow="1" w:lastColumn="0" w:lastRow="0" w:noHBand="0" w:noVBand="1" w:val="04A0"/>
      </w:tblPr>
      <w:tblGrid>
        <w:gridCol w:w="3213"/>
        <w:gridCol w:w="3213"/>
        <w:gridCol w:w="3213"/>
      </w:tblGrid>
      <w:tr>
        <w:tc>
          <w:tcPr>
            <w:tcW w:type="dxa" w:w="1296"/>
          </w:tcPr>
          <w:p>
            <w:r>
              <w:t>顺序</w:t>
            </w:r>
          </w:p>
        </w:tc>
        <w:tc>
          <w:tcPr>
            <w:tcW w:type="dxa" w:w="4464"/>
          </w:tcPr>
          <w:p>
            <w:r>
              <w:t>功能</w:t>
            </w:r>
          </w:p>
        </w:tc>
        <w:tc>
          <w:tcPr>
            <w:tcW w:type="dxa" w:w="5904"/>
          </w:tcPr>
          <w:p>
            <w:r>
              <w:t>决定依据</w:t>
            </w:r>
          </w:p>
        </w:tc>
        <w:trPr>
          <w:tblHeader/>
        </w:trPr>
      </w:tr>
      <w:tr>
        <w:tc>
          <w:tcPr>
            <w:tcW w:type="dxa" w:w="1296"/>
          </w:tcPr>
          <w:p>
            <w:r>
              <w:t>第一批</w:t>
            </w:r>
          </w:p>
        </w:tc>
        <w:tc>
          <w:tcPr>
            <w:tcW w:type="dxa" w:w="4464"/>
          </w:tcPr>
          <w:p>
            <w:r>
              <w:t>快速改写通道、新手轻量脚手架、状态提示数量上限</w:t>
            </w:r>
          </w:p>
        </w:tc>
        <w:tc>
          <w:tcPr>
            <w:tcW w:type="dxa" w:w="5904"/>
          </w:tcPr>
          <w:p>
            <w:r>
              <w:t>直接影响首次使用与每日高频写作；进入V1开发</w:t>
            </w:r>
          </w:p>
        </w:tc>
      </w:tr>
      <w:tr>
        <w:tc>
          <w:tcPr>
            <w:tcW w:type="dxa" w:w="1296"/>
          </w:tcPr>
          <w:p>
            <w:r>
              <w:t>第二批验证</w:t>
            </w:r>
          </w:p>
        </w:tc>
        <w:tc>
          <w:tcPr>
            <w:tcW w:type="dxa" w:w="4464"/>
          </w:tcPr>
          <w:p>
            <w:r>
              <w:t>右侧栏迷你人物状态条</w:t>
            </w:r>
          </w:p>
        </w:tc>
        <w:tc>
          <w:tcPr>
            <w:tcW w:type="dxa" w:w="5904"/>
          </w:tcPr>
          <w:p>
            <w:r>
              <w:t>先在可点击原型中比较有无迷你态的任务完成时间</w:t>
            </w:r>
          </w:p>
        </w:tc>
      </w:tr>
      <w:tr>
        <w:tc>
          <w:tcPr>
            <w:tcW w:type="dxa" w:w="1296"/>
          </w:tcPr>
          <w:p>
            <w:r>
              <w:t>第三批验证</w:t>
            </w:r>
          </w:p>
        </w:tc>
        <w:tc>
          <w:tcPr>
            <w:tcW w:type="dxa" w:w="4464"/>
          </w:tcPr>
          <w:p>
            <w:r>
              <w:t>状态确认质量保护</w:t>
            </w:r>
          </w:p>
        </w:tc>
        <w:tc>
          <w:tcPr>
            <w:tcW w:type="dxa" w:w="5904"/>
          </w:tcPr>
          <w:p>
            <w:r>
              <w:t>必须积累至少两周真实连续创作数据后再决定</w:t>
            </w:r>
          </w:p>
        </w:tc>
      </w:tr>
    </w:tbl>
    <w:p>
      <w:pPr/>
      <w:r>
        <w:t>实现原则：第一批仅补充交互路径和最小字段；第二、三批不得预建独立状态机、分析服务或复杂配置。</w:t>
      </w:r>
    </w:p>
    <w:p>
      <w:pPr>
        <w:pStyle w:val="Heading1"/>
        <w:keepNext/>
      </w:pPr>
      <w:r>
        <w:t>16. 五项核心ADR</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819"/>
        <w:gridCol w:w="4819"/>
      </w:tblGrid>
      <w:tr>
        <w:trPr>
          <w:tblHeader w:val="true"/>
          <w:cantSplit/>
          <w:tblHeader w:val="true"/>
        </w:trPr>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ADR</w:t>
            </w:r>
          </w:p>
        </w:tc>
        <w:tc>
          <w:tcPr>
            <w:tcW w:type="dxa" w:w="4819"/>
            <w:shd w:fill="EAF0FF"/>
            <w:vAlign w:val="center"/>
            <w:tcMar>
              <w:top w:w="90" w:type="dxa"/>
              <w:start w:w="110" w:type="dxa"/>
              <w:bottom w:w="90" w:type="dxa"/>
              <w:end w:w="110" w:type="dxa"/>
            </w:tcMar>
          </w:tcPr>
          <w:p>
            <w:pPr>
              <w:spacing w:after="0"/>
              <w:jc w:val="center"/>
            </w:pPr>
            <w:r>
              <w:rPr>
                <w:rFonts w:ascii="Noto Sans CJK SC" w:hAnsi="Noto Sans CJK SC" w:eastAsia="Noto Sans CJK SC"/>
                <w:b/>
                <w:color w:val="1F2937"/>
                <w:sz w:val="18"/>
              </w:rPr>
              <w:t>决策</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ADR-001</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作品数据仅保存在用户本机，不建设云存储与请求中转</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ADR-002</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project.sqlite是单项目唯一数据真源</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ADR-003</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Draft、Candidate、Version三层分离</w:t>
            </w:r>
          </w:p>
        </w:tc>
      </w:tr>
      <w:tr>
        <w:trPr>
          <w:cantSplit/>
        </w:trPr>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ADR-004</w:t>
            </w:r>
          </w:p>
        </w:tc>
        <w:tc>
          <w:tcPr>
            <w:tcW w:type="dxa" w:w="4819"/>
            <w:vAlign w:val="center"/>
            <w:tcMar>
              <w:top w:w="90" w:type="dxa"/>
              <w:start w:w="110" w:type="dxa"/>
              <w:bottom w:w="90" w:type="dxa"/>
              <w:end w:w="110" w:type="dxa"/>
            </w:tcMar>
            <w:shd w:fill="F8FAFD"/>
          </w:tcPr>
          <w:p>
            <w:pPr>
              <w:spacing w:after="0" w:line="264" w:lineRule="auto"/>
            </w:pPr>
            <w:r>
              <w:rPr>
                <w:rFonts w:ascii="Noto Sans CJK SC" w:hAnsi="Noto Sans CJK SC" w:eastAsia="Noto Sans CJK SC"/>
                <w:color w:val="243447"/>
                <w:sz w:val="18"/>
              </w:rPr>
              <w:t>AI候选不得直接覆盖作者正文或静态设定</w:t>
            </w:r>
          </w:p>
        </w:tc>
      </w:tr>
      <w:tr>
        <w:trPr>
          <w:cantSplit/>
        </w:trPr>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ADR-005</w:t>
            </w:r>
          </w:p>
        </w:tc>
        <w:tc>
          <w:tcPr>
            <w:tcW w:type="dxa" w:w="4819"/>
            <w:vAlign w:val="center"/>
            <w:tcMar>
              <w:top w:w="90" w:type="dxa"/>
              <w:start w:w="110" w:type="dxa"/>
              <w:bottom w:w="90" w:type="dxa"/>
              <w:end w:w="110" w:type="dxa"/>
            </w:tcMar>
          </w:tcPr>
          <w:p>
            <w:pPr>
              <w:spacing w:after="0" w:line="264" w:lineRule="auto"/>
            </w:pPr>
            <w:r>
              <w:rPr>
                <w:rFonts w:ascii="Noto Sans CJK SC" w:hAnsi="Noto Sans CJK SC" w:eastAsia="Noto Sans CJK SC"/>
                <w:color w:val="243447"/>
                <w:sz w:val="18"/>
              </w:rPr>
              <w:t>锁定块、Revision、不可变Version和一致性备份由代码保证</w:t>
            </w:r>
          </w:p>
        </w:tc>
      </w:tr>
    </w:tbl>
    <w:p>
      <w:pPr>
        <w:spacing w:line="324" w:lineRule="auto" w:after="100"/>
        <w:ind w:firstLine="420"/>
      </w:pPr>
      <w:r>
        <w:rPr>
          <w:rFonts w:ascii="Noto Sans CJK SC" w:hAnsi="Noto Sans CJK SC" w:eastAsia="Noto Sans CJK SC"/>
          <w:sz w:val="21"/>
        </w:rPr>
        <w:t>只有当改动触及上述五项根本边界时才新增或修改ADR。普通技术替换、UI调整和查询实现写入开发说明即可，不建立审批流程。</w:t>
      </w:r>
    </w:p>
    <w:p>
      <w:pPr>
        <w:pStyle w:val="Heading1"/>
        <w:pageBreakBefore/>
      </w:pPr>
      <w:r>
        <w:t>17. 最终交互与实现规则</w:t>
      </w:r>
    </w:p>
    <w:p>
      <w:r>
        <w:t>本章冻结评估后剩余的基础交互与实现规则。它们不是新增业务中心，而是保证规划、写作、AI候选和导入能够在真实创作中安全、顺手地工作。完成本章后，v1功能范围停止扩张。</w:t>
      </w:r>
    </w:p>
    <w:p>
      <w:pPr>
        <w:pStyle w:val="Heading2"/>
      </w:pPr>
      <w:r>
        <w:t>17.1 场景卡与正文的安全联动</w:t>
      </w:r>
    </w:p>
    <w:p>
      <w:r>
        <w:t>场景卡属于规划数据，正文块属于作者文本。二者可以关联，但任何规划操作都不得默认改写正文。DraftBlock通过可空sceneBeatId记录关联，一个场景可以关联多个连续或非连续文本块。</w:t>
      </w:r>
    </w:p>
    <w:tbl>
      <w:tblPr>
        <w:tblW w:type="auto" w:w="0"/>
        <w:jc w:val="center"/>
        <w:tblLayout w:type="autofit"/>
        <w:tblLook w:firstColumn="1" w:firstRow="1" w:lastColumn="0" w:lastRow="0" w:noHBand="0" w:noVBand="1" w:val="04A0"/>
      </w:tblPr>
      <w:tblGrid>
        <w:gridCol w:w="3213"/>
        <w:gridCol w:w="3213"/>
        <w:gridCol w:w="3213"/>
      </w:tblGrid>
      <w:tr>
        <w:trPr>
          <w:tblHeader w:val="true"/>
          <w:tblHeader w:val="true"/>
          <w:cantSplit/>
        </w:trPr>
        <w:tc>
          <w:tcPr>
            <w:tcW w:type="dxa" w:w="1944"/>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操作</w:t>
            </w:r>
          </w:p>
        </w:tc>
        <w:tc>
          <w:tcPr>
            <w:tcW w:type="dxa" w:w="3024"/>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默认行为</w:t>
            </w:r>
          </w:p>
        </w:tc>
        <w:tc>
          <w:tcPr>
            <w:tcW w:type="dxa" w:w="4320"/>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涉及正文时</w:t>
            </w:r>
          </w:p>
        </w:tc>
      </w:tr>
      <w:tr>
        <w:trPr>
          <w:cantSplit/>
        </w:trPr>
        <w:tc>
          <w:tcPr>
            <w:tcW w:type="dxa" w:w="1944"/>
            <w:vAlign w:val="center"/>
            <w:tcMar>
              <w:top w:w="90" w:type="dxa"/>
              <w:start w:w="110" w:type="dxa"/>
              <w:bottom w:w="90" w:type="dxa"/>
              <w:end w:w="110" w:type="dxa"/>
            </w:tcMar>
          </w:tcPr>
          <w:p>
            <w:pPr>
              <w:spacing w:after="0"/>
            </w:pPr>
            <w:r>
              <w:rPr>
                <w:rFonts w:ascii="Noto Sans CJK SC" w:hAnsi="Noto Sans CJK SC" w:eastAsia="Noto Sans CJK SC"/>
                <w:sz w:val="18"/>
              </w:rPr>
              <w:t>移动未写场景</w:t>
            </w:r>
          </w:p>
        </w:tc>
        <w:tc>
          <w:tcPr>
            <w:tcW w:type="dxa" w:w="3024"/>
            <w:vAlign w:val="center"/>
            <w:tcMar>
              <w:top w:w="90" w:type="dxa"/>
              <w:start w:w="110" w:type="dxa"/>
              <w:bottom w:w="90" w:type="dxa"/>
              <w:end w:w="110" w:type="dxa"/>
            </w:tcMar>
          </w:tcPr>
          <w:p>
            <w:pPr>
              <w:spacing w:after="0"/>
            </w:pPr>
            <w:r>
              <w:rPr>
                <w:rFonts w:ascii="Noto Sans CJK SC" w:hAnsi="Noto Sans CJK SC" w:eastAsia="Noto Sans CJK SC"/>
                <w:sz w:val="18"/>
              </w:rPr>
              <w:t>只调整场景规划顺序</w:t>
            </w:r>
          </w:p>
        </w:tc>
        <w:tc>
          <w:tcPr>
            <w:tcW w:type="dxa" w:w="4320"/>
            <w:vAlign w:val="center"/>
            <w:tcMar>
              <w:top w:w="90" w:type="dxa"/>
              <w:start w:w="110" w:type="dxa"/>
              <w:bottom w:w="90" w:type="dxa"/>
              <w:end w:w="110" w:type="dxa"/>
            </w:tcMar>
          </w:tcPr>
          <w:p>
            <w:pPr>
              <w:spacing w:after="0"/>
            </w:pPr>
            <w:r>
              <w:rPr>
                <w:rFonts w:ascii="Noto Sans CJK SC" w:hAnsi="Noto Sans CJK SC" w:eastAsia="Noto Sans CJK SC"/>
                <w:sz w:val="18"/>
              </w:rPr>
              <w:t>无需提示</w:t>
            </w:r>
          </w:p>
        </w:tc>
      </w:tr>
      <w:tr>
        <w:trPr>
          <w:cantSplit/>
        </w:trPr>
        <w:tc>
          <w:tcPr>
            <w:tcW w:type="dxa" w:w="1944"/>
            <w:vAlign w:val="center"/>
            <w:tcMar>
              <w:top w:w="90" w:type="dxa"/>
              <w:start w:w="110" w:type="dxa"/>
              <w:bottom w:w="90" w:type="dxa"/>
              <w:end w:w="110" w:type="dxa"/>
            </w:tcMar>
            <w:shd w:fill="F8FAFD"/>
          </w:tcPr>
          <w:p>
            <w:pPr>
              <w:spacing w:after="0"/>
            </w:pPr>
            <w:r>
              <w:rPr>
                <w:rFonts w:ascii="Noto Sans CJK SC" w:hAnsi="Noto Sans CJK SC" w:eastAsia="Noto Sans CJK SC"/>
                <w:sz w:val="18"/>
              </w:rPr>
              <w:t>移动已写场景</w:t>
            </w:r>
          </w:p>
        </w:tc>
        <w:tc>
          <w:tcPr>
            <w:tcW w:type="dxa" w:w="3024"/>
            <w:vAlign w:val="center"/>
            <w:tcMar>
              <w:top w:w="90" w:type="dxa"/>
              <w:start w:w="110" w:type="dxa"/>
              <w:bottom w:w="90" w:type="dxa"/>
              <w:end w:w="110" w:type="dxa"/>
            </w:tcMar>
            <w:shd w:fill="F8FAFD"/>
          </w:tcPr>
          <w:p>
            <w:pPr>
              <w:spacing w:after="0"/>
            </w:pPr>
            <w:r>
              <w:rPr>
                <w:rFonts w:ascii="Noto Sans CJK SC" w:hAnsi="Noto Sans CJK SC" w:eastAsia="Noto Sans CJK SC"/>
                <w:sz w:val="18"/>
              </w:rPr>
              <w:t>只调整规划顺序</w:t>
            </w:r>
          </w:p>
        </w:tc>
        <w:tc>
          <w:tcPr>
            <w:tcW w:type="dxa" w:w="4320"/>
            <w:vAlign w:val="center"/>
            <w:tcMar>
              <w:top w:w="90" w:type="dxa"/>
              <w:start w:w="110" w:type="dxa"/>
              <w:bottom w:w="90" w:type="dxa"/>
              <w:end w:w="110" w:type="dxa"/>
            </w:tcMar>
            <w:shd w:fill="F8FAFD"/>
          </w:tcPr>
          <w:p>
            <w:pPr>
              <w:spacing w:after="0"/>
            </w:pPr>
            <w:r>
              <w:rPr>
                <w:rFonts w:ascii="Noto Sans CJK SC" w:hAnsi="Noto Sans CJK SC" w:eastAsia="Noto Sans CJK SC"/>
                <w:sz w:val="18"/>
              </w:rPr>
              <w:t>提供“同时移动关联正文”，默认不选</w:t>
            </w:r>
          </w:p>
        </w:tc>
      </w:tr>
      <w:tr>
        <w:trPr>
          <w:cantSplit/>
        </w:trPr>
        <w:tc>
          <w:tcPr>
            <w:tcW w:type="dxa" w:w="1944"/>
            <w:vAlign w:val="center"/>
            <w:tcMar>
              <w:top w:w="90" w:type="dxa"/>
              <w:start w:w="110" w:type="dxa"/>
              <w:bottom w:w="90" w:type="dxa"/>
              <w:end w:w="110" w:type="dxa"/>
            </w:tcMar>
          </w:tcPr>
          <w:p>
            <w:pPr>
              <w:spacing w:after="0"/>
            </w:pPr>
            <w:r>
              <w:rPr>
                <w:rFonts w:ascii="Noto Sans CJK SC" w:hAnsi="Noto Sans CJK SC" w:eastAsia="Noto Sans CJK SC"/>
                <w:sz w:val="18"/>
              </w:rPr>
              <w:t>删除场景卡</w:t>
            </w:r>
          </w:p>
        </w:tc>
        <w:tc>
          <w:tcPr>
            <w:tcW w:type="dxa" w:w="3024"/>
            <w:vAlign w:val="center"/>
            <w:tcMar>
              <w:top w:w="90" w:type="dxa"/>
              <w:start w:w="110" w:type="dxa"/>
              <w:bottom w:w="90" w:type="dxa"/>
              <w:end w:w="110" w:type="dxa"/>
            </w:tcMar>
          </w:tcPr>
          <w:p>
            <w:pPr>
              <w:spacing w:after="0"/>
            </w:pPr>
            <w:r>
              <w:rPr>
                <w:rFonts w:ascii="Noto Sans CJK SC" w:hAnsi="Noto Sans CJK SC" w:eastAsia="Noto Sans CJK SC"/>
                <w:sz w:val="18"/>
              </w:rPr>
              <w:t>删除规划卡</w:t>
            </w:r>
          </w:p>
        </w:tc>
        <w:tc>
          <w:tcPr>
            <w:tcW w:type="dxa" w:w="4320"/>
            <w:vAlign w:val="center"/>
            <w:tcMar>
              <w:top w:w="90" w:type="dxa"/>
              <w:start w:w="110" w:type="dxa"/>
              <w:bottom w:w="90" w:type="dxa"/>
              <w:end w:w="110" w:type="dxa"/>
            </w:tcMar>
          </w:tcPr>
          <w:p>
            <w:pPr>
              <w:spacing w:after="0"/>
            </w:pPr>
            <w:r>
              <w:rPr>
                <w:rFonts w:ascii="Noto Sans CJK SC" w:hAnsi="Noto Sans CJK SC" w:eastAsia="Noto Sans CJK SC"/>
                <w:sz w:val="18"/>
              </w:rPr>
              <w:t>关联正文保留并解除关联，不随卡删除</w:t>
            </w:r>
          </w:p>
        </w:tc>
      </w:tr>
      <w:tr>
        <w:trPr>
          <w:cantSplit/>
        </w:trPr>
        <w:tc>
          <w:tcPr>
            <w:tcW w:type="dxa" w:w="1944"/>
            <w:vAlign w:val="center"/>
            <w:tcMar>
              <w:top w:w="90" w:type="dxa"/>
              <w:start w:w="110" w:type="dxa"/>
              <w:bottom w:w="90" w:type="dxa"/>
              <w:end w:w="110" w:type="dxa"/>
            </w:tcMar>
            <w:shd w:fill="F8FAFD"/>
          </w:tcPr>
          <w:p>
            <w:pPr>
              <w:spacing w:after="0"/>
            </w:pPr>
            <w:r>
              <w:rPr>
                <w:rFonts w:ascii="Noto Sans CJK SC" w:hAnsi="Noto Sans CJK SC" w:eastAsia="Noto Sans CJK SC"/>
                <w:sz w:val="18"/>
              </w:rPr>
              <w:t>正文新增场景</w:t>
            </w:r>
          </w:p>
        </w:tc>
        <w:tc>
          <w:tcPr>
            <w:tcW w:type="dxa" w:w="3024"/>
            <w:vAlign w:val="center"/>
            <w:tcMar>
              <w:top w:w="90" w:type="dxa"/>
              <w:start w:w="110" w:type="dxa"/>
              <w:bottom w:w="90" w:type="dxa"/>
              <w:end w:w="110" w:type="dxa"/>
            </w:tcMar>
            <w:shd w:fill="F8FAFD"/>
          </w:tcPr>
          <w:p>
            <w:pPr>
              <w:spacing w:after="0"/>
            </w:pPr>
            <w:r>
              <w:rPr>
                <w:rFonts w:ascii="Noto Sans CJK SC" w:hAnsi="Noto Sans CJK SC" w:eastAsia="Noto Sans CJK SC"/>
                <w:sz w:val="18"/>
              </w:rPr>
              <w:t>正文正常保存</w:t>
            </w:r>
          </w:p>
        </w:tc>
        <w:tc>
          <w:tcPr>
            <w:tcW w:type="dxa" w:w="4320"/>
            <w:vAlign w:val="center"/>
            <w:tcMar>
              <w:top w:w="90" w:type="dxa"/>
              <w:start w:w="110" w:type="dxa"/>
              <w:bottom w:w="90" w:type="dxa"/>
              <w:end w:w="110" w:type="dxa"/>
            </w:tcMar>
            <w:shd w:fill="F8FAFD"/>
          </w:tcPr>
          <w:p>
            <w:pPr>
              <w:spacing w:after="0"/>
            </w:pPr>
            <w:r>
              <w:rPr>
                <w:rFonts w:ascii="Noto Sans CJK SC" w:hAnsi="Noto Sans CJK SC" w:eastAsia="Noto Sans CJK SC"/>
                <w:sz w:val="18"/>
              </w:rPr>
              <w:t>作者可将选中块转为新场景卡</w:t>
            </w:r>
          </w:p>
        </w:tc>
      </w:tr>
      <w:tr>
        <w:trPr>
          <w:cantSplit/>
        </w:trPr>
        <w:tc>
          <w:tcPr>
            <w:tcW w:type="dxa" w:w="1944"/>
            <w:vAlign w:val="center"/>
            <w:tcMar>
              <w:top w:w="90" w:type="dxa"/>
              <w:start w:w="110" w:type="dxa"/>
              <w:bottom w:w="90" w:type="dxa"/>
              <w:end w:w="110" w:type="dxa"/>
            </w:tcMar>
          </w:tcPr>
          <w:p>
            <w:pPr>
              <w:spacing w:after="0"/>
            </w:pPr>
            <w:r>
              <w:rPr>
                <w:rFonts w:ascii="Noto Sans CJK SC" w:hAnsi="Noto Sans CJK SC" w:eastAsia="Noto Sans CJK SC"/>
                <w:sz w:val="18"/>
              </w:rPr>
              <w:t>AI发现偏离</w:t>
            </w:r>
          </w:p>
        </w:tc>
        <w:tc>
          <w:tcPr>
            <w:tcW w:type="dxa" w:w="3024"/>
            <w:vAlign w:val="center"/>
            <w:tcMar>
              <w:top w:w="90" w:type="dxa"/>
              <w:start w:w="110" w:type="dxa"/>
              <w:bottom w:w="90" w:type="dxa"/>
              <w:end w:w="110" w:type="dxa"/>
            </w:tcMar>
          </w:tcPr>
          <w:p>
            <w:pPr>
              <w:spacing w:after="0"/>
            </w:pPr>
            <w:r>
              <w:rPr>
                <w:rFonts w:ascii="Noto Sans CJK SC" w:hAnsi="Noto Sans CJK SC" w:eastAsia="Noto Sans CJK SC"/>
                <w:sz w:val="18"/>
              </w:rPr>
              <w:t>生成更新建议</w:t>
            </w:r>
          </w:p>
        </w:tc>
        <w:tc>
          <w:tcPr>
            <w:tcW w:type="dxa" w:w="4320"/>
            <w:vAlign w:val="center"/>
            <w:tcMar>
              <w:top w:w="90" w:type="dxa"/>
              <w:start w:w="110" w:type="dxa"/>
              <w:bottom w:w="90" w:type="dxa"/>
              <w:end w:w="110" w:type="dxa"/>
            </w:tcMar>
          </w:tcPr>
          <w:p>
            <w:pPr>
              <w:spacing w:after="0"/>
            </w:pPr>
            <w:r>
              <w:rPr>
                <w:rFonts w:ascii="Noto Sans CJK SC" w:hAnsi="Noto Sans CJK SC" w:eastAsia="Noto Sans CJK SC"/>
                <w:sz w:val="18"/>
              </w:rPr>
              <w:t>必须由作者确认后才修改场景卡</w:t>
            </w:r>
          </w:p>
        </w:tc>
      </w:tr>
    </w:tbl>
    <w:p>
      <w:pPr>
        <w:jc w:val="center"/>
      </w:pPr>
      <w:r>
        <w:drawing>
          <wp:inline xmlns:a="http://schemas.openxmlformats.org/drawingml/2006/main" xmlns:pic="http://schemas.openxmlformats.org/drawingml/2006/picture">
            <wp:extent cx="6263640" cy="3523298"/>
            <wp:docPr id="11" name="Picture 11" descr="场景卡与正文联动确认界面，展示场景规划与关联正文移动时的安全选择。" title="场景卡与正文联动确认界面，展示场景规划与关联正文移动时的安全选择。"/>
            <wp:cNvGraphicFramePr>
              <a:graphicFrameLocks noChangeAspect="1"/>
            </wp:cNvGraphicFramePr>
            <a:graphic>
              <a:graphicData uri="http://schemas.openxmlformats.org/drawingml/2006/picture">
                <pic:pic>
                  <pic:nvPicPr>
                    <pic:cNvPr id="0" name="07_scene_text_sync.png"/>
                    <pic:cNvPicPr/>
                  </pic:nvPicPr>
                  <pic:blipFill>
                    <a:blip r:embed="rId20"/>
                    <a:stretch>
                      <a:fillRect/>
                    </a:stretch>
                  </pic:blipFill>
                  <pic:spPr>
                    <a:xfrm>
                      <a:off x="0" y="0"/>
                      <a:ext cx="6263640" cy="3523298"/>
                    </a:xfrm>
                    <a:prstGeom prst="rect"/>
                  </pic:spPr>
                </pic:pic>
              </a:graphicData>
            </a:graphic>
          </wp:inline>
        </w:drawing>
      </w:r>
    </w:p>
    <w:p>
      <w:pPr>
        <w:jc w:val="center"/>
      </w:pPr>
      <w:r>
        <w:rPr>
          <w:i/>
          <w:color w:val="64748B"/>
          <w:sz w:val="18"/>
        </w:rPr>
        <w:t>图17-1 场景卡与正文联动确认</w:t>
      </w:r>
    </w:p>
    <w:p>
      <w:pPr>
        <w:pStyle w:val="Heading2"/>
      </w:pPr>
      <w:r>
        <w:t>17.2 章节拆分、合并与场景跨章移动</w:t>
      </w:r>
    </w:p>
    <w:p>
      <w:pPr>
        <w:pStyle w:val="ListBullet"/>
        <w:spacing w:after="40"/>
      </w:pPr>
      <w:r>
        <w:t>拆分章节只能在正文块边界执行。系统创建新章节和新Draft，并在单一事务中移动选定块；原章节历史Version不变。</w:t>
      </w:r>
    </w:p>
    <w:p>
      <w:pPr>
        <w:pStyle w:val="ListBullet"/>
        <w:spacing w:after="40"/>
      </w:pPr>
      <w:r>
        <w:t>合并章节生成新的活动Draft，来源章节的不可变Version继续保留；默认不删除原章节，作者确认后可归档。</w:t>
      </w:r>
    </w:p>
    <w:p>
      <w:pPr>
        <w:pStyle w:val="ListBullet"/>
        <w:spacing w:after="40"/>
      </w:pPr>
      <w:r>
        <w:t>场景跨章移动同时更新SceneBeat归属和关联正文块；存在锁定块、运行中的AI任务或Revision变化时拒绝执行。</w:t>
      </w:r>
    </w:p>
    <w:p>
      <w:pPr>
        <w:pStyle w:val="ListBullet"/>
        <w:spacing w:after="40"/>
      </w:pPr>
      <w:r>
        <w:t>移动后的正文块保留logicalBlockId、来源Candidate和原章节来源记录，便于历史追踪。</w:t>
      </w:r>
    </w:p>
    <w:p>
      <w:pPr>
        <w:pStyle w:val="ListBullet"/>
        <w:spacing w:after="40"/>
      </w:pPr>
      <w:r>
        <w:t>章节编号、标题和卷内顺序在操作预览中显示，提交后支持一次撤销或从Version恢复。</w:t>
      </w:r>
    </w:p>
    <w:p>
      <w:pPr>
        <w:pStyle w:val="Heading2"/>
      </w:pPr>
      <w:r>
        <w:t>17.3 角色声音最小卡片</w:t>
      </w:r>
    </w:p>
    <w:p>
      <w:r>
        <w:t>人物声音不开发复杂分析器，只提供作者可编辑的最小卡片，并作为可选P3约束注入。空白卡片不会阻止生成。</w:t>
      </w:r>
    </w:p>
    <w:tbl>
      <w:tblPr>
        <w:tblW w:type="auto" w:w="0"/>
        <w:jc w:val="center"/>
        <w:tblLayout w:type="autofit"/>
        <w:tblLook w:firstColumn="1" w:firstRow="1" w:lastColumn="0" w:lastRow="0" w:noHBand="0" w:noVBand="1" w:val="04A0"/>
      </w:tblPr>
      <w:tblGrid>
        <w:gridCol w:w="4819"/>
        <w:gridCol w:w="4819"/>
      </w:tblGrid>
      <w:tr>
        <w:trPr>
          <w:tblHeader w:val="true"/>
          <w:tblHeader w:val="true"/>
          <w:cantSplit/>
        </w:trPr>
        <w:tc>
          <w:tcPr>
            <w:tcW w:type="dxa" w:w="2232"/>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字段</w:t>
            </w:r>
          </w:p>
        </w:tc>
        <w:tc>
          <w:tcPr>
            <w:tcW w:type="dxa" w:w="7200"/>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说明</w:t>
            </w:r>
          </w:p>
        </w:tc>
      </w:tr>
      <w:tr>
        <w:trPr>
          <w:cantSplit/>
        </w:trPr>
        <w:tc>
          <w:tcPr>
            <w:tcW w:type="dxa" w:w="2232"/>
            <w:vAlign w:val="center"/>
            <w:tcMar>
              <w:top w:w="90" w:type="dxa"/>
              <w:start w:w="110" w:type="dxa"/>
              <w:bottom w:w="90" w:type="dxa"/>
              <w:end w:w="110" w:type="dxa"/>
            </w:tcMar>
          </w:tcPr>
          <w:p>
            <w:pPr>
              <w:spacing w:after="0"/>
            </w:pPr>
            <w:r>
              <w:rPr>
                <w:rFonts w:ascii="Noto Sans CJK SC" w:hAnsi="Noto Sans CJK SC" w:eastAsia="Noto Sans CJK SC"/>
                <w:sz w:val="18"/>
              </w:rPr>
              <w:t>说话节奏</w:t>
            </w:r>
          </w:p>
        </w:tc>
        <w:tc>
          <w:tcPr>
            <w:tcW w:type="dxa" w:w="7200"/>
            <w:vAlign w:val="center"/>
            <w:tcMar>
              <w:top w:w="90" w:type="dxa"/>
              <w:start w:w="110" w:type="dxa"/>
              <w:bottom w:w="90" w:type="dxa"/>
              <w:end w:w="110" w:type="dxa"/>
            </w:tcMar>
          </w:tcPr>
          <w:p>
            <w:pPr>
              <w:spacing w:after="0"/>
            </w:pPr>
            <w:r>
              <w:rPr>
                <w:rFonts w:ascii="Noto Sans CJK SC" w:hAnsi="Noto Sans CJK SC" w:eastAsia="Noto Sans CJK SC"/>
                <w:sz w:val="18"/>
              </w:rPr>
              <w:t>短句/长句、快慢、是否常打断或停顿</w:t>
            </w:r>
          </w:p>
        </w:tc>
      </w:tr>
      <w:tr>
        <w:trPr>
          <w:cantSplit/>
        </w:trPr>
        <w:tc>
          <w:tcPr>
            <w:tcW w:type="dxa" w:w="2232"/>
            <w:vAlign w:val="center"/>
            <w:tcMar>
              <w:top w:w="90" w:type="dxa"/>
              <w:start w:w="110" w:type="dxa"/>
              <w:bottom w:w="90" w:type="dxa"/>
              <w:end w:w="110" w:type="dxa"/>
            </w:tcMar>
            <w:shd w:fill="F8FAFD"/>
          </w:tcPr>
          <w:p>
            <w:pPr>
              <w:spacing w:after="0"/>
            </w:pPr>
            <w:r>
              <w:rPr>
                <w:rFonts w:ascii="Noto Sans CJK SC" w:hAnsi="Noto Sans CJK SC" w:eastAsia="Noto Sans CJK SC"/>
                <w:sz w:val="18"/>
              </w:rPr>
              <w:t>常用表达</w:t>
            </w:r>
          </w:p>
        </w:tc>
        <w:tc>
          <w:tcPr>
            <w:tcW w:type="dxa" w:w="7200"/>
            <w:vAlign w:val="center"/>
            <w:tcMar>
              <w:top w:w="90" w:type="dxa"/>
              <w:start w:w="110" w:type="dxa"/>
              <w:bottom w:w="90" w:type="dxa"/>
              <w:end w:w="110" w:type="dxa"/>
            </w:tcMar>
            <w:shd w:fill="F8FAFD"/>
          </w:tcPr>
          <w:p>
            <w:pPr>
              <w:spacing w:after="0"/>
            </w:pPr>
            <w:r>
              <w:rPr>
                <w:rFonts w:ascii="Noto Sans CJK SC" w:hAnsi="Noto Sans CJK SC" w:eastAsia="Noto Sans CJK SC"/>
                <w:sz w:val="18"/>
              </w:rPr>
              <w:t>具有辨识度但不过度重复的词语或句式</w:t>
            </w:r>
          </w:p>
        </w:tc>
      </w:tr>
      <w:tr>
        <w:trPr>
          <w:cantSplit/>
        </w:trPr>
        <w:tc>
          <w:tcPr>
            <w:tcW w:type="dxa" w:w="2232"/>
            <w:vAlign w:val="center"/>
            <w:tcMar>
              <w:top w:w="90" w:type="dxa"/>
              <w:start w:w="110" w:type="dxa"/>
              <w:bottom w:w="90" w:type="dxa"/>
              <w:end w:w="110" w:type="dxa"/>
            </w:tcMar>
          </w:tcPr>
          <w:p>
            <w:pPr>
              <w:spacing w:after="0"/>
            </w:pPr>
            <w:r>
              <w:rPr>
                <w:rFonts w:ascii="Noto Sans CJK SC" w:hAnsi="Noto Sans CJK SC" w:eastAsia="Noto Sans CJK SC"/>
                <w:sz w:val="18"/>
              </w:rPr>
              <w:t>不会说的话</w:t>
            </w:r>
          </w:p>
        </w:tc>
        <w:tc>
          <w:tcPr>
            <w:tcW w:type="dxa" w:w="7200"/>
            <w:vAlign w:val="center"/>
            <w:tcMar>
              <w:top w:w="90" w:type="dxa"/>
              <w:start w:w="110" w:type="dxa"/>
              <w:bottom w:w="90" w:type="dxa"/>
              <w:end w:w="110" w:type="dxa"/>
            </w:tcMar>
          </w:tcPr>
          <w:p>
            <w:pPr>
              <w:spacing w:after="0"/>
            </w:pPr>
            <w:r>
              <w:rPr>
                <w:rFonts w:ascii="Noto Sans CJK SC" w:hAnsi="Noto Sans CJK SC" w:eastAsia="Noto Sans CJK SC"/>
                <w:sz w:val="18"/>
              </w:rPr>
              <w:t>与身份、性格或时代不符的表达</w:t>
            </w:r>
          </w:p>
        </w:tc>
      </w:tr>
      <w:tr>
        <w:trPr>
          <w:cantSplit/>
        </w:trPr>
        <w:tc>
          <w:tcPr>
            <w:tcW w:type="dxa" w:w="2232"/>
            <w:vAlign w:val="center"/>
            <w:tcMar>
              <w:top w:w="90" w:type="dxa"/>
              <w:start w:w="110" w:type="dxa"/>
              <w:bottom w:w="90" w:type="dxa"/>
              <w:end w:w="110" w:type="dxa"/>
            </w:tcMar>
            <w:shd w:fill="F8FAFD"/>
          </w:tcPr>
          <w:p>
            <w:pPr>
              <w:spacing w:after="0"/>
            </w:pPr>
            <w:r>
              <w:rPr>
                <w:rFonts w:ascii="Noto Sans CJK SC" w:hAnsi="Noto Sans CJK SC" w:eastAsia="Noto Sans CJK SC"/>
                <w:sz w:val="18"/>
              </w:rPr>
              <w:t>关系称谓</w:t>
            </w:r>
          </w:p>
        </w:tc>
        <w:tc>
          <w:tcPr>
            <w:tcW w:type="dxa" w:w="7200"/>
            <w:vAlign w:val="center"/>
            <w:tcMar>
              <w:top w:w="90" w:type="dxa"/>
              <w:start w:w="110" w:type="dxa"/>
              <w:bottom w:w="90" w:type="dxa"/>
              <w:end w:w="110" w:type="dxa"/>
            </w:tcMar>
            <w:shd w:fill="F8FAFD"/>
          </w:tcPr>
          <w:p>
            <w:pPr>
              <w:spacing w:after="0"/>
            </w:pPr>
            <w:r>
              <w:rPr>
                <w:rFonts w:ascii="Noto Sans CJK SC" w:hAnsi="Noto Sans CJK SC" w:eastAsia="Noto Sans CJK SC"/>
                <w:sz w:val="18"/>
              </w:rPr>
              <w:t>面对不同人物时的称呼与语气变化</w:t>
            </w:r>
          </w:p>
        </w:tc>
      </w:tr>
      <w:tr>
        <w:trPr>
          <w:cantSplit/>
        </w:trPr>
        <w:tc>
          <w:tcPr>
            <w:tcW w:type="dxa" w:w="2232"/>
            <w:vAlign w:val="center"/>
            <w:tcMar>
              <w:top w:w="90" w:type="dxa"/>
              <w:start w:w="110" w:type="dxa"/>
              <w:bottom w:w="90" w:type="dxa"/>
              <w:end w:w="110" w:type="dxa"/>
            </w:tcMar>
          </w:tcPr>
          <w:p>
            <w:pPr>
              <w:spacing w:after="0"/>
            </w:pPr>
            <w:r>
              <w:rPr>
                <w:rFonts w:ascii="Noto Sans CJK SC" w:hAnsi="Noto Sans CJK SC" w:eastAsia="Noto Sans CJK SC"/>
                <w:sz w:val="18"/>
              </w:rPr>
              <w:t>样本台词</w:t>
            </w:r>
          </w:p>
        </w:tc>
        <w:tc>
          <w:tcPr>
            <w:tcW w:type="dxa" w:w="7200"/>
            <w:vAlign w:val="center"/>
            <w:tcMar>
              <w:top w:w="90" w:type="dxa"/>
              <w:start w:w="110" w:type="dxa"/>
              <w:bottom w:w="90" w:type="dxa"/>
              <w:end w:w="110" w:type="dxa"/>
            </w:tcMar>
          </w:tcPr>
          <w:p>
            <w:pPr>
              <w:spacing w:after="0"/>
            </w:pPr>
            <w:r>
              <w:rPr>
                <w:rFonts w:ascii="Noto Sans CJK SC" w:hAnsi="Noto Sans CJK SC" w:eastAsia="Noto Sans CJK SC"/>
                <w:sz w:val="18"/>
              </w:rPr>
              <w:t>2-5条作者确认的代表性台词</w:t>
            </w:r>
          </w:p>
        </w:tc>
      </w:tr>
    </w:tbl>
    <w:p>
      <w:pPr>
        <w:pStyle w:val="Heading2"/>
      </w:pPr>
      <w:r>
        <w:t>17.4 新手下一步规则与结构模板</w:t>
      </w:r>
    </w:p>
    <w:p>
      <w:r>
        <w:t>“下一步”使用固定规则，不调用模型自主规划。系统一次只显示一个主建议，并允许单条、当前项目或全局关闭。</w:t>
      </w:r>
    </w:p>
    <w:tbl>
      <w:tblPr>
        <w:tblW w:type="auto" w:w="0"/>
        <w:jc w:val="center"/>
        <w:tblLayout w:type="autofit"/>
        <w:tblLook w:firstColumn="1" w:firstRow="1" w:lastColumn="0" w:lastRow="0" w:noHBand="0" w:noVBand="1" w:val="04A0"/>
      </w:tblPr>
      <w:tblGrid>
        <w:gridCol w:w="4819"/>
        <w:gridCol w:w="4819"/>
      </w:tblGrid>
      <w:tr>
        <w:trPr>
          <w:tblHeader w:val="true"/>
          <w:tblHeader w:val="true"/>
          <w:cantSplit/>
        </w:trPr>
        <w:tc>
          <w:tcPr>
            <w:tcW w:type="dxa" w:w="3096"/>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项目状态</w:t>
            </w:r>
          </w:p>
        </w:tc>
        <w:tc>
          <w:tcPr>
            <w:tcW w:type="dxa" w:w="6336"/>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主建议</w:t>
            </w:r>
          </w:p>
        </w:tc>
      </w:tr>
      <w:tr>
        <w:trPr>
          <w:cantSplit/>
        </w:trPr>
        <w:tc>
          <w:tcPr>
            <w:tcW w:type="dxa" w:w="3096"/>
            <w:vAlign w:val="center"/>
            <w:tcMar>
              <w:top w:w="90" w:type="dxa"/>
              <w:start w:w="110" w:type="dxa"/>
              <w:bottom w:w="90" w:type="dxa"/>
              <w:end w:w="110" w:type="dxa"/>
            </w:tcMar>
          </w:tcPr>
          <w:p>
            <w:pPr>
              <w:spacing w:after="0"/>
            </w:pPr>
            <w:r>
              <w:rPr>
                <w:rFonts w:ascii="Noto Sans CJK SC" w:hAnsi="Noto Sans CJK SC" w:eastAsia="Noto Sans CJK SC"/>
                <w:sz w:val="18"/>
              </w:rPr>
              <w:t>没有章节</w:t>
            </w:r>
          </w:p>
        </w:tc>
        <w:tc>
          <w:tcPr>
            <w:tcW w:type="dxa" w:w="6336"/>
            <w:vAlign w:val="center"/>
            <w:tcMar>
              <w:top w:w="90" w:type="dxa"/>
              <w:start w:w="110" w:type="dxa"/>
              <w:bottom w:w="90" w:type="dxa"/>
              <w:end w:w="110" w:type="dxa"/>
            </w:tcMar>
          </w:tcPr>
          <w:p>
            <w:pPr>
              <w:spacing w:after="0"/>
            </w:pPr>
            <w:r>
              <w:rPr>
                <w:rFonts w:ascii="Noto Sans CJK SC" w:hAnsi="Noto Sans CJK SC" w:eastAsia="Noto Sans CJK SC"/>
                <w:sz w:val="18"/>
              </w:rPr>
              <w:t>创建第一章</w:t>
            </w:r>
          </w:p>
        </w:tc>
      </w:tr>
      <w:tr>
        <w:trPr>
          <w:cantSplit/>
        </w:trPr>
        <w:tc>
          <w:tcPr>
            <w:tcW w:type="dxa" w:w="3096"/>
            <w:vAlign w:val="center"/>
            <w:tcMar>
              <w:top w:w="90" w:type="dxa"/>
              <w:start w:w="110" w:type="dxa"/>
              <w:bottom w:w="90" w:type="dxa"/>
              <w:end w:w="110" w:type="dxa"/>
            </w:tcMar>
            <w:shd w:fill="F8FAFD"/>
          </w:tcPr>
          <w:p>
            <w:pPr>
              <w:spacing w:after="0"/>
            </w:pPr>
            <w:r>
              <w:rPr>
                <w:rFonts w:ascii="Noto Sans CJK SC" w:hAnsi="Noto Sans CJK SC" w:eastAsia="Noto Sans CJK SC"/>
                <w:sz w:val="18"/>
              </w:rPr>
              <w:t>存在空章节</w:t>
            </w:r>
          </w:p>
        </w:tc>
        <w:tc>
          <w:tcPr>
            <w:tcW w:type="dxa" w:w="6336"/>
            <w:vAlign w:val="center"/>
            <w:tcMar>
              <w:top w:w="90" w:type="dxa"/>
              <w:start w:w="110" w:type="dxa"/>
              <w:bottom w:w="90" w:type="dxa"/>
              <w:end w:w="110" w:type="dxa"/>
            </w:tcMar>
            <w:shd w:fill="F8FAFD"/>
          </w:tcPr>
          <w:p>
            <w:pPr>
              <w:spacing w:after="0"/>
            </w:pPr>
            <w:r>
              <w:rPr>
                <w:rFonts w:ascii="Noto Sans CJK SC" w:hAnsi="Noto Sans CJK SC" w:eastAsia="Noto Sans CJK SC"/>
                <w:sz w:val="18"/>
              </w:rPr>
              <w:t>直接写作或添加场景</w:t>
            </w:r>
          </w:p>
        </w:tc>
      </w:tr>
      <w:tr>
        <w:trPr>
          <w:cantSplit/>
        </w:trPr>
        <w:tc>
          <w:tcPr>
            <w:tcW w:type="dxa" w:w="3096"/>
            <w:vAlign w:val="center"/>
            <w:tcMar>
              <w:top w:w="90" w:type="dxa"/>
              <w:start w:w="110" w:type="dxa"/>
              <w:bottom w:w="90" w:type="dxa"/>
              <w:end w:w="110" w:type="dxa"/>
            </w:tcMar>
          </w:tcPr>
          <w:p>
            <w:pPr>
              <w:spacing w:after="0"/>
            </w:pPr>
            <w:r>
              <w:rPr>
                <w:rFonts w:ascii="Noto Sans CJK SC" w:hAnsi="Noto Sans CJK SC" w:eastAsia="Noto Sans CJK SC"/>
                <w:sz w:val="18"/>
              </w:rPr>
              <w:t>有场景但无正文</w:t>
            </w:r>
          </w:p>
        </w:tc>
        <w:tc>
          <w:tcPr>
            <w:tcW w:type="dxa" w:w="6336"/>
            <w:vAlign w:val="center"/>
            <w:tcMar>
              <w:top w:w="90" w:type="dxa"/>
              <w:start w:w="110" w:type="dxa"/>
              <w:bottom w:w="90" w:type="dxa"/>
              <w:end w:w="110" w:type="dxa"/>
            </w:tcMar>
          </w:tcPr>
          <w:p>
            <w:pPr>
              <w:spacing w:after="0"/>
            </w:pPr>
            <w:r>
              <w:rPr>
                <w:rFonts w:ascii="Noto Sans CJK SC" w:hAnsi="Noto Sans CJK SC" w:eastAsia="Noto Sans CJK SC"/>
                <w:sz w:val="18"/>
              </w:rPr>
              <w:t>开始写作或生成骨架</w:t>
            </w:r>
          </w:p>
        </w:tc>
      </w:tr>
      <w:tr>
        <w:trPr>
          <w:cantSplit/>
        </w:trPr>
        <w:tc>
          <w:tcPr>
            <w:tcW w:type="dxa" w:w="3096"/>
            <w:vAlign w:val="center"/>
            <w:tcMar>
              <w:top w:w="90" w:type="dxa"/>
              <w:start w:w="110" w:type="dxa"/>
              <w:bottom w:w="90" w:type="dxa"/>
              <w:end w:w="110" w:type="dxa"/>
            </w:tcMar>
            <w:shd w:fill="F8FAFD"/>
          </w:tcPr>
          <w:p>
            <w:pPr>
              <w:spacing w:after="0"/>
            </w:pPr>
            <w:r>
              <w:rPr>
                <w:rFonts w:ascii="Noto Sans CJK SC" w:hAnsi="Noto Sans CJK SC" w:eastAsia="Noto Sans CJK SC"/>
                <w:sz w:val="18"/>
              </w:rPr>
              <w:t>有正文未定稿</w:t>
            </w:r>
          </w:p>
        </w:tc>
        <w:tc>
          <w:tcPr>
            <w:tcW w:type="dxa" w:w="6336"/>
            <w:vAlign w:val="center"/>
            <w:tcMar>
              <w:top w:w="90" w:type="dxa"/>
              <w:start w:w="110" w:type="dxa"/>
              <w:bottom w:w="90" w:type="dxa"/>
              <w:end w:w="110" w:type="dxa"/>
            </w:tcMar>
            <w:shd w:fill="F8FAFD"/>
          </w:tcPr>
          <w:p>
            <w:pPr>
              <w:spacing w:after="0"/>
            </w:pPr>
            <w:r>
              <w:rPr>
                <w:rFonts w:ascii="Noto Sans CJK SC" w:hAnsi="Noto Sans CJK SC" w:eastAsia="Noto Sans CJK SC"/>
                <w:sz w:val="18"/>
              </w:rPr>
              <w:t>继续修改或运行检查</w:t>
            </w:r>
          </w:p>
        </w:tc>
      </w:tr>
      <w:tr>
        <w:trPr>
          <w:cantSplit/>
        </w:trPr>
        <w:tc>
          <w:tcPr>
            <w:tcW w:type="dxa" w:w="3096"/>
            <w:vAlign w:val="center"/>
            <w:tcMar>
              <w:top w:w="90" w:type="dxa"/>
              <w:start w:w="110" w:type="dxa"/>
              <w:bottom w:w="90" w:type="dxa"/>
              <w:end w:w="110" w:type="dxa"/>
            </w:tcMar>
          </w:tcPr>
          <w:p>
            <w:pPr>
              <w:spacing w:after="0"/>
            </w:pPr>
            <w:r>
              <w:rPr>
                <w:rFonts w:ascii="Noto Sans CJK SC" w:hAnsi="Noto Sans CJK SC" w:eastAsia="Noto Sans CJK SC"/>
                <w:sz w:val="18"/>
              </w:rPr>
              <w:t>已定稿但状态未确认</w:t>
            </w:r>
          </w:p>
        </w:tc>
        <w:tc>
          <w:tcPr>
            <w:tcW w:type="dxa" w:w="6336"/>
            <w:vAlign w:val="center"/>
            <w:tcMar>
              <w:top w:w="90" w:type="dxa"/>
              <w:start w:w="110" w:type="dxa"/>
              <w:bottom w:w="90" w:type="dxa"/>
              <w:end w:w="110" w:type="dxa"/>
            </w:tcMar>
          </w:tcPr>
          <w:p>
            <w:pPr>
              <w:spacing w:after="0"/>
            </w:pPr>
            <w:r>
              <w:rPr>
                <w:rFonts w:ascii="Noto Sans CJK SC" w:hAnsi="Noto Sans CJK SC" w:eastAsia="Noto Sans CJK SC"/>
                <w:sz w:val="18"/>
              </w:rPr>
              <w:t>确认本章结束状态</w:t>
            </w:r>
          </w:p>
        </w:tc>
      </w:tr>
      <w:tr>
        <w:trPr>
          <w:cantSplit/>
        </w:trPr>
        <w:tc>
          <w:tcPr>
            <w:tcW w:type="dxa" w:w="3096"/>
            <w:vAlign w:val="center"/>
            <w:tcMar>
              <w:top w:w="90" w:type="dxa"/>
              <w:start w:w="110" w:type="dxa"/>
              <w:bottom w:w="90" w:type="dxa"/>
              <w:end w:w="110" w:type="dxa"/>
            </w:tcMar>
            <w:shd w:fill="F8FAFD"/>
          </w:tcPr>
          <w:p>
            <w:pPr>
              <w:spacing w:after="0"/>
            </w:pPr>
            <w:r>
              <w:rPr>
                <w:rFonts w:ascii="Noto Sans CJK SC" w:hAnsi="Noto Sans CJK SC" w:eastAsia="Noto Sans CJK SC"/>
                <w:sz w:val="18"/>
              </w:rPr>
              <w:t>超过设定周期未备份</w:t>
            </w:r>
          </w:p>
        </w:tc>
        <w:tc>
          <w:tcPr>
            <w:tcW w:type="dxa" w:w="6336"/>
            <w:vAlign w:val="center"/>
            <w:tcMar>
              <w:top w:w="90" w:type="dxa"/>
              <w:start w:w="110" w:type="dxa"/>
              <w:bottom w:w="90" w:type="dxa"/>
              <w:end w:w="110" w:type="dxa"/>
            </w:tcMar>
            <w:shd w:fill="F8FAFD"/>
          </w:tcPr>
          <w:p>
            <w:pPr>
              <w:spacing w:after="0"/>
            </w:pPr>
            <w:r>
              <w:rPr>
                <w:rFonts w:ascii="Noto Sans CJK SC" w:hAnsi="Noto Sans CJK SC" w:eastAsia="Noto Sans CJK SC"/>
                <w:sz w:val="18"/>
              </w:rPr>
              <w:t>创建本地备份</w:t>
            </w:r>
          </w:p>
        </w:tc>
      </w:tr>
    </w:tbl>
    <w:p>
      <w:r>
        <w:t>首版只提供成长升级、悬疑调查、生存冒险、关系发展、权谋博弈五种中性结构模板。模板仅给出阶段问题、冲突检查点和章节目标示例，不生成固定人物、世界观或具体剧情。</w:t>
      </w:r>
    </w:p>
    <w:p>
      <w:pPr>
        <w:pStyle w:val="Heading2"/>
      </w:pPr>
      <w:r>
        <w:t>17.5 离线校对、项目词典与字数目标</w:t>
      </w:r>
    </w:p>
    <w:tbl>
      <w:tblPr>
        <w:tblW w:type="auto" w:w="0"/>
        <w:jc w:val="center"/>
        <w:tblLayout w:type="autofit"/>
        <w:tblLook w:firstColumn="1" w:firstRow="1" w:lastColumn="0" w:lastRow="0" w:noHBand="0" w:noVBand="1" w:val="04A0"/>
      </w:tblPr>
      <w:tblGrid>
        <w:gridCol w:w="4819"/>
        <w:gridCol w:w="4819"/>
      </w:tblGrid>
      <w:tr>
        <w:trPr>
          <w:tblHeader w:val="true"/>
          <w:tblHeader w:val="true"/>
          <w:cantSplit/>
        </w:trPr>
        <w:tc>
          <w:tcPr>
            <w:tcW w:type="dxa" w:w="2160"/>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能力</w:t>
            </w:r>
          </w:p>
        </w:tc>
        <w:tc>
          <w:tcPr>
            <w:tcW w:type="dxa" w:w="7272"/>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v1实现</w:t>
            </w:r>
          </w:p>
        </w:tc>
      </w:tr>
      <w:tr>
        <w:trPr>
          <w:cantSplit/>
        </w:trPr>
        <w:tc>
          <w:tcPr>
            <w:tcW w:type="dxa" w:w="2160"/>
            <w:vAlign w:val="center"/>
            <w:tcMar>
              <w:top w:w="90" w:type="dxa"/>
              <w:start w:w="110" w:type="dxa"/>
              <w:bottom w:w="90" w:type="dxa"/>
              <w:end w:w="110" w:type="dxa"/>
            </w:tcMar>
          </w:tcPr>
          <w:p>
            <w:pPr>
              <w:spacing w:after="0"/>
            </w:pPr>
            <w:r>
              <w:rPr>
                <w:rFonts w:ascii="Noto Sans CJK SC" w:hAnsi="Noto Sans CJK SC" w:eastAsia="Noto Sans CJK SC"/>
                <w:sz w:val="18"/>
              </w:rPr>
              <w:t>标点检查</w:t>
            </w:r>
          </w:p>
        </w:tc>
        <w:tc>
          <w:tcPr>
            <w:tcW w:type="dxa" w:w="7272"/>
            <w:vAlign w:val="center"/>
            <w:tcMar>
              <w:top w:w="90" w:type="dxa"/>
              <w:start w:w="110" w:type="dxa"/>
              <w:bottom w:w="90" w:type="dxa"/>
              <w:end w:w="110" w:type="dxa"/>
            </w:tcMar>
          </w:tcPr>
          <w:p>
            <w:pPr>
              <w:spacing w:after="0"/>
            </w:pPr>
            <w:r>
              <w:rPr>
                <w:rFonts w:ascii="Noto Sans CJK SC" w:hAnsi="Noto Sans CJK SC" w:eastAsia="Noto Sans CJK SC"/>
                <w:sz w:val="18"/>
              </w:rPr>
              <w:t>引号/括号配对、连续重复标点、全角半角混用、句末标点异常</w:t>
            </w:r>
          </w:p>
        </w:tc>
      </w:tr>
      <w:tr>
        <w:trPr>
          <w:cantSplit/>
        </w:trPr>
        <w:tc>
          <w:tcPr>
            <w:tcW w:type="dxa" w:w="2160"/>
            <w:vAlign w:val="center"/>
            <w:tcMar>
              <w:top w:w="90" w:type="dxa"/>
              <w:start w:w="110" w:type="dxa"/>
              <w:bottom w:w="90" w:type="dxa"/>
              <w:end w:w="110" w:type="dxa"/>
            </w:tcMar>
            <w:shd w:fill="F8FAFD"/>
          </w:tcPr>
          <w:p>
            <w:pPr>
              <w:spacing w:after="0"/>
            </w:pPr>
            <w:r>
              <w:rPr>
                <w:rFonts w:ascii="Noto Sans CJK SC" w:hAnsi="Noto Sans CJK SC" w:eastAsia="Noto Sans CJK SC"/>
                <w:sz w:val="18"/>
              </w:rPr>
              <w:t>基础文本检查</w:t>
            </w:r>
          </w:p>
        </w:tc>
        <w:tc>
          <w:tcPr>
            <w:tcW w:type="dxa" w:w="7272"/>
            <w:vAlign w:val="center"/>
            <w:tcMar>
              <w:top w:w="90" w:type="dxa"/>
              <w:start w:w="110" w:type="dxa"/>
              <w:bottom w:w="90" w:type="dxa"/>
              <w:end w:w="110" w:type="dxa"/>
            </w:tcMar>
            <w:shd w:fill="F8FAFD"/>
          </w:tcPr>
          <w:p>
            <w:pPr>
              <w:spacing w:after="0"/>
            </w:pPr>
            <w:r>
              <w:rPr>
                <w:rFonts w:ascii="Noto Sans CJK SC" w:hAnsi="Noto Sans CJK SC" w:eastAsia="Noto Sans CJK SC"/>
                <w:sz w:val="18"/>
              </w:rPr>
              <w:t>连续重复词、异常空格、段首格式和明显数字格式不一致</w:t>
            </w:r>
          </w:p>
        </w:tc>
      </w:tr>
      <w:tr>
        <w:trPr>
          <w:cantSplit/>
        </w:trPr>
        <w:tc>
          <w:tcPr>
            <w:tcW w:type="dxa" w:w="2160"/>
            <w:vAlign w:val="center"/>
            <w:tcMar>
              <w:top w:w="90" w:type="dxa"/>
              <w:start w:w="110" w:type="dxa"/>
              <w:bottom w:w="90" w:type="dxa"/>
              <w:end w:w="110" w:type="dxa"/>
            </w:tcMar>
          </w:tcPr>
          <w:p>
            <w:pPr>
              <w:spacing w:after="0"/>
            </w:pPr>
            <w:r>
              <w:rPr>
                <w:rFonts w:ascii="Noto Sans CJK SC" w:hAnsi="Noto Sans CJK SC" w:eastAsia="Noto Sans CJK SC"/>
                <w:sz w:val="18"/>
              </w:rPr>
              <w:t>项目专名词典</w:t>
            </w:r>
          </w:p>
        </w:tc>
        <w:tc>
          <w:tcPr>
            <w:tcW w:type="dxa" w:w="7272"/>
            <w:vAlign w:val="center"/>
            <w:tcMar>
              <w:top w:w="90" w:type="dxa"/>
              <w:start w:w="110" w:type="dxa"/>
              <w:bottom w:w="90" w:type="dxa"/>
              <w:end w:w="110" w:type="dxa"/>
            </w:tcMar>
          </w:tcPr>
          <w:p>
            <w:pPr>
              <w:spacing w:after="0"/>
            </w:pPr>
            <w:r>
              <w:rPr>
                <w:rFonts w:ascii="Noto Sans CJK SC" w:hAnsi="Noto Sans CJK SC" w:eastAsia="Noto Sans CJK SC"/>
                <w:sz w:val="18"/>
              </w:rPr>
              <w:t>标准写法、别名、禁用写法、忽略规则；正文检查只提示不自动替换</w:t>
            </w:r>
          </w:p>
        </w:tc>
      </w:tr>
      <w:tr>
        <w:trPr>
          <w:cantSplit/>
        </w:trPr>
        <w:tc>
          <w:tcPr>
            <w:tcW w:type="dxa" w:w="2160"/>
            <w:vAlign w:val="center"/>
            <w:tcMar>
              <w:top w:w="90" w:type="dxa"/>
              <w:start w:w="110" w:type="dxa"/>
              <w:bottom w:w="90" w:type="dxa"/>
              <w:end w:w="110" w:type="dxa"/>
            </w:tcMar>
            <w:shd w:fill="F8FAFD"/>
          </w:tcPr>
          <w:p>
            <w:pPr>
              <w:spacing w:after="0"/>
            </w:pPr>
            <w:r>
              <w:rPr>
                <w:rFonts w:ascii="Noto Sans CJK SC" w:hAnsi="Noto Sans CJK SC" w:eastAsia="Noto Sans CJK SC"/>
                <w:sz w:val="18"/>
              </w:rPr>
              <w:t>字数目标</w:t>
            </w:r>
          </w:p>
        </w:tc>
        <w:tc>
          <w:tcPr>
            <w:tcW w:type="dxa" w:w="7272"/>
            <w:vAlign w:val="center"/>
            <w:tcMar>
              <w:top w:w="90" w:type="dxa"/>
              <w:start w:w="110" w:type="dxa"/>
              <w:bottom w:w="90" w:type="dxa"/>
              <w:end w:w="110" w:type="dxa"/>
            </w:tcMar>
            <w:shd w:fill="F8FAFD"/>
          </w:tcPr>
          <w:p>
            <w:pPr>
              <w:spacing w:after="0"/>
            </w:pPr>
            <w:r>
              <w:rPr>
                <w:rFonts w:ascii="Noto Sans CJK SC" w:hAnsi="Noto Sans CJK SC" w:eastAsia="Noto Sans CJK SC"/>
                <w:sz w:val="18"/>
              </w:rPr>
              <w:t>章节目标与场景建议字数，显示实际值和完成比例，不作为强制错误</w:t>
            </w:r>
          </w:p>
        </w:tc>
      </w:tr>
      <w:tr>
        <w:trPr>
          <w:cantSplit/>
        </w:trPr>
        <w:tc>
          <w:tcPr>
            <w:tcW w:type="dxa" w:w="2160"/>
            <w:vAlign w:val="center"/>
            <w:tcMar>
              <w:top w:w="90" w:type="dxa"/>
              <w:start w:w="110" w:type="dxa"/>
              <w:bottom w:w="90" w:type="dxa"/>
              <w:end w:w="110" w:type="dxa"/>
            </w:tcMar>
          </w:tcPr>
          <w:p>
            <w:pPr>
              <w:spacing w:after="0"/>
            </w:pPr>
            <w:r>
              <w:rPr>
                <w:rFonts w:ascii="Noto Sans CJK SC" w:hAnsi="Noto Sans CJK SC" w:eastAsia="Noto Sans CJK SC"/>
                <w:sz w:val="18"/>
              </w:rPr>
              <w:t>误报处理</w:t>
            </w:r>
          </w:p>
        </w:tc>
        <w:tc>
          <w:tcPr>
            <w:tcW w:type="dxa" w:w="7272"/>
            <w:vAlign w:val="center"/>
            <w:tcMar>
              <w:top w:w="90" w:type="dxa"/>
              <w:start w:w="110" w:type="dxa"/>
              <w:bottom w:w="90" w:type="dxa"/>
              <w:end w:w="110" w:type="dxa"/>
            </w:tcMar>
          </w:tcPr>
          <w:p>
            <w:pPr>
              <w:spacing w:after="0"/>
            </w:pPr>
            <w:r>
              <w:rPr>
                <w:rFonts w:ascii="Noto Sans CJK SC" w:hAnsi="Noto Sans CJK SC" w:eastAsia="Noto Sans CJK SC"/>
                <w:sz w:val="18"/>
              </w:rPr>
              <w:t>本次忽略、加入词典或项目永久忽略；所有替换必须预览</w:t>
            </w:r>
          </w:p>
        </w:tc>
      </w:tr>
    </w:tbl>
    <w:p>
      <w:pPr>
        <w:pStyle w:val="Heading2"/>
      </w:pPr>
      <w:r>
        <w:t>17.6 已有作品导入预览</w:t>
      </w:r>
    </w:p>
    <w:p>
      <w:pPr>
        <w:spacing w:after="40"/>
      </w:pPr>
      <w:r>
        <w:t>1. 选择TXT、Markdown或DOCX文件，并选择标题样式、章节标题文本或空行分隔等解析规则。</w:t>
      </w:r>
    </w:p>
    <w:p>
      <w:pPr>
        <w:spacing w:after="40"/>
      </w:pPr>
      <w:r>
        <w:t>2. Core返回只读解析结果，不创建章节、不修改project.sqlite。</w:t>
      </w:r>
    </w:p>
    <w:p>
      <w:pPr>
        <w:spacing w:after="40"/>
      </w:pPr>
      <w:r>
        <w:t>3. 作者在预览中重命名、拆分、合并、排除片段并确认章节顺序。</w:t>
      </w:r>
    </w:p>
    <w:p>
      <w:pPr>
        <w:spacing w:after="40"/>
      </w:pPr>
      <w:r>
        <w:t>4. 存在未解决边界或空标题时给出提示，但允许作者明确确认导入。</w:t>
      </w:r>
    </w:p>
    <w:p>
      <w:pPr>
        <w:spacing w:after="40"/>
      </w:pPr>
      <w:r>
        <w:t>5. 最终确认后在单一事务中创建章节、Draft和导入来源记录；失败则全部回滚。</w:t>
      </w:r>
    </w:p>
    <w:p>
      <w:pPr>
        <w:jc w:val="center"/>
      </w:pPr>
      <w:r>
        <w:drawing>
          <wp:inline xmlns:a="http://schemas.openxmlformats.org/drawingml/2006/main" xmlns:pic="http://schemas.openxmlformats.org/drawingml/2006/picture">
            <wp:extent cx="6263640" cy="3523298"/>
            <wp:docPr id="12" name="Picture 12" descr="已有作品导入预览界面，展示章节分割、合并、重命名和确认导入。" title="已有作品导入预览界面，展示章节分割、合并、重命名和确认导入。"/>
            <wp:cNvGraphicFramePr>
              <a:graphicFrameLocks noChangeAspect="1"/>
            </wp:cNvGraphicFramePr>
            <a:graphic>
              <a:graphicData uri="http://schemas.openxmlformats.org/drawingml/2006/picture">
                <pic:pic>
                  <pic:nvPicPr>
                    <pic:cNvPr id="0" name="08_import_preview.png"/>
                    <pic:cNvPicPr/>
                  </pic:nvPicPr>
                  <pic:blipFill>
                    <a:blip r:embed="rId21"/>
                    <a:stretch>
                      <a:fillRect/>
                    </a:stretch>
                  </pic:blipFill>
                  <pic:spPr>
                    <a:xfrm>
                      <a:off x="0" y="0"/>
                      <a:ext cx="6263640" cy="3523298"/>
                    </a:xfrm>
                    <a:prstGeom prst="rect"/>
                  </pic:spPr>
                </pic:pic>
              </a:graphicData>
            </a:graphic>
          </wp:inline>
        </w:drawing>
      </w:r>
    </w:p>
    <w:p>
      <w:pPr>
        <w:jc w:val="center"/>
      </w:pPr>
      <w:r>
        <w:rPr>
          <w:i/>
          <w:color w:val="64748B"/>
          <w:sz w:val="18"/>
        </w:rPr>
        <w:t>图17-2 已有作品导入预览</w:t>
      </w:r>
    </w:p>
    <w:p>
      <w:pPr>
        <w:pStyle w:val="Heading2"/>
      </w:pPr>
      <w:r>
        <w:t>17.7 AI运行期间的页面行为</w:t>
      </w:r>
    </w:p>
    <w:tbl>
      <w:tblPr>
        <w:tblW w:type="auto" w:w="0"/>
        <w:jc w:val="center"/>
        <w:tblLayout w:type="autofit"/>
        <w:tblLook w:firstColumn="1" w:firstRow="1" w:lastColumn="0" w:lastRow="0" w:noHBand="0" w:noVBand="1" w:val="04A0"/>
      </w:tblPr>
      <w:tblGrid>
        <w:gridCol w:w="4819"/>
        <w:gridCol w:w="4819"/>
      </w:tblGrid>
      <w:tr>
        <w:trPr>
          <w:tblHeader w:val="true"/>
          <w:tblHeader w:val="true"/>
          <w:cantSplit/>
        </w:trPr>
        <w:tc>
          <w:tcPr>
            <w:tcW w:type="dxa" w:w="2952"/>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场景</w:t>
            </w:r>
          </w:p>
        </w:tc>
        <w:tc>
          <w:tcPr>
            <w:tcW w:type="dxa" w:w="6480"/>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行为</w:t>
            </w:r>
          </w:p>
        </w:tc>
      </w:tr>
      <w:tr>
        <w:trPr>
          <w:cantSplit/>
        </w:trPr>
        <w:tc>
          <w:tcPr>
            <w:tcW w:type="dxa" w:w="2952"/>
            <w:vAlign w:val="center"/>
            <w:tcMar>
              <w:top w:w="90" w:type="dxa"/>
              <w:start w:w="110" w:type="dxa"/>
              <w:bottom w:w="90" w:type="dxa"/>
              <w:end w:w="110" w:type="dxa"/>
            </w:tcMar>
          </w:tcPr>
          <w:p>
            <w:pPr>
              <w:spacing w:after="0"/>
            </w:pPr>
            <w:r>
              <w:rPr>
                <w:rFonts w:ascii="Noto Sans CJK SC" w:hAnsi="Noto Sans CJK SC" w:eastAsia="Noto Sans CJK SC"/>
                <w:sz w:val="18"/>
              </w:rPr>
              <w:t>切换章节或页面</w:t>
            </w:r>
          </w:p>
        </w:tc>
        <w:tc>
          <w:tcPr>
            <w:tcW w:type="dxa" w:w="6480"/>
            <w:vAlign w:val="center"/>
            <w:tcMar>
              <w:top w:w="90" w:type="dxa"/>
              <w:start w:w="110" w:type="dxa"/>
              <w:bottom w:w="90" w:type="dxa"/>
              <w:end w:w="110" w:type="dxa"/>
            </w:tcMar>
          </w:tcPr>
          <w:p>
            <w:pPr>
              <w:spacing w:after="0"/>
            </w:pPr>
            <w:r>
              <w:rPr>
                <w:rFonts w:ascii="Noto Sans CJK SC" w:hAnsi="Noto Sans CJK SC" w:eastAsia="Noto Sans CJK SC"/>
                <w:sz w:val="18"/>
              </w:rPr>
              <w:t>任务继续运行；顶部任务条显示章节、类型、进度和取消入口</w:t>
            </w:r>
          </w:p>
        </w:tc>
      </w:tr>
      <w:tr>
        <w:trPr>
          <w:cantSplit/>
        </w:trPr>
        <w:tc>
          <w:tcPr>
            <w:tcW w:type="dxa" w:w="2952"/>
            <w:vAlign w:val="center"/>
            <w:tcMar>
              <w:top w:w="90" w:type="dxa"/>
              <w:start w:w="110" w:type="dxa"/>
              <w:bottom w:w="90" w:type="dxa"/>
              <w:end w:w="110" w:type="dxa"/>
            </w:tcMar>
            <w:shd w:fill="F8FAFD"/>
          </w:tcPr>
          <w:p>
            <w:pPr>
              <w:spacing w:after="0"/>
            </w:pPr>
            <w:r>
              <w:rPr>
                <w:rFonts w:ascii="Noto Sans CJK SC" w:hAnsi="Noto Sans CJK SC" w:eastAsia="Noto Sans CJK SC"/>
                <w:sz w:val="18"/>
              </w:rPr>
              <w:t>同章再次发起写入型任务</w:t>
            </w:r>
          </w:p>
        </w:tc>
        <w:tc>
          <w:tcPr>
            <w:tcW w:type="dxa" w:w="6480"/>
            <w:vAlign w:val="center"/>
            <w:tcMar>
              <w:top w:w="90" w:type="dxa"/>
              <w:start w:w="110" w:type="dxa"/>
              <w:bottom w:w="90" w:type="dxa"/>
              <w:end w:w="110" w:type="dxa"/>
            </w:tcMar>
            <w:shd w:fill="F8FAFD"/>
          </w:tcPr>
          <w:p>
            <w:pPr>
              <w:spacing w:after="0"/>
            </w:pPr>
            <w:r>
              <w:rPr>
                <w:rFonts w:ascii="Noto Sans CJK SC" w:hAnsi="Noto Sans CJK SC" w:eastAsia="Noto Sans CJK SC"/>
                <w:sz w:val="18"/>
              </w:rPr>
              <w:t>提示已有任务；作者可取消旧任务后重新开始</w:t>
            </w:r>
          </w:p>
        </w:tc>
      </w:tr>
      <w:tr>
        <w:trPr>
          <w:cantSplit/>
        </w:trPr>
        <w:tc>
          <w:tcPr>
            <w:tcW w:type="dxa" w:w="2952"/>
            <w:vAlign w:val="center"/>
            <w:tcMar>
              <w:top w:w="90" w:type="dxa"/>
              <w:start w:w="110" w:type="dxa"/>
              <w:bottom w:w="90" w:type="dxa"/>
              <w:end w:w="110" w:type="dxa"/>
            </w:tcMar>
          </w:tcPr>
          <w:p>
            <w:pPr>
              <w:spacing w:after="0"/>
            </w:pPr>
            <w:r>
              <w:rPr>
                <w:rFonts w:ascii="Noto Sans CJK SC" w:hAnsi="Noto Sans CJK SC" w:eastAsia="Noto Sans CJK SC"/>
                <w:sz w:val="18"/>
              </w:rPr>
              <w:t>切换项目</w:t>
            </w:r>
          </w:p>
        </w:tc>
        <w:tc>
          <w:tcPr>
            <w:tcW w:type="dxa" w:w="6480"/>
            <w:vAlign w:val="center"/>
            <w:tcMar>
              <w:top w:w="90" w:type="dxa"/>
              <w:start w:w="110" w:type="dxa"/>
              <w:bottom w:w="90" w:type="dxa"/>
              <w:end w:w="110" w:type="dxa"/>
            </w:tcMar>
          </w:tcPr>
          <w:p>
            <w:pPr>
              <w:spacing w:after="0"/>
            </w:pPr>
            <w:r>
              <w:rPr>
                <w:rFonts w:ascii="Noto Sans CJK SC" w:hAnsi="Noto Sans CJK SC" w:eastAsia="Noto Sans CJK SC"/>
                <w:sz w:val="18"/>
              </w:rPr>
              <w:t>任务继续但不自动展示流；返回原项目后恢复状态</w:t>
            </w:r>
          </w:p>
        </w:tc>
      </w:tr>
      <w:tr>
        <w:trPr>
          <w:cantSplit/>
        </w:trPr>
        <w:tc>
          <w:tcPr>
            <w:tcW w:type="dxa" w:w="2952"/>
            <w:vAlign w:val="center"/>
            <w:tcMar>
              <w:top w:w="90" w:type="dxa"/>
              <w:start w:w="110" w:type="dxa"/>
              <w:bottom w:w="90" w:type="dxa"/>
              <w:end w:w="110" w:type="dxa"/>
            </w:tcMar>
            <w:shd w:fill="F8FAFD"/>
          </w:tcPr>
          <w:p>
            <w:pPr>
              <w:spacing w:after="0"/>
            </w:pPr>
            <w:r>
              <w:rPr>
                <w:rFonts w:ascii="Noto Sans CJK SC" w:hAnsi="Noto Sans CJK SC" w:eastAsia="Noto Sans CJK SC"/>
                <w:sz w:val="18"/>
              </w:rPr>
              <w:t>关闭应用</w:t>
            </w:r>
          </w:p>
        </w:tc>
        <w:tc>
          <w:tcPr>
            <w:tcW w:type="dxa" w:w="6480"/>
            <w:vAlign w:val="center"/>
            <w:tcMar>
              <w:top w:w="90" w:type="dxa"/>
              <w:start w:w="110" w:type="dxa"/>
              <w:bottom w:w="90" w:type="dxa"/>
              <w:end w:w="110" w:type="dxa"/>
            </w:tcMar>
            <w:shd w:fill="F8FAFD"/>
          </w:tcPr>
          <w:p>
            <w:pPr>
              <w:spacing w:after="0"/>
            </w:pPr>
            <w:r>
              <w:rPr>
                <w:rFonts w:ascii="Noto Sans CJK SC" w:hAnsi="Noto Sans CJK SC" w:eastAsia="Noto Sans CJK SC"/>
                <w:sz w:val="18"/>
              </w:rPr>
              <w:t>存在运行任务时询问“取消并退出/继续等待”；不支持后台驻留</w:t>
            </w:r>
          </w:p>
        </w:tc>
      </w:tr>
      <w:tr>
        <w:trPr>
          <w:cantSplit/>
        </w:trPr>
        <w:tc>
          <w:tcPr>
            <w:tcW w:type="dxa" w:w="2952"/>
            <w:vAlign w:val="center"/>
            <w:tcMar>
              <w:top w:w="90" w:type="dxa"/>
              <w:start w:w="110" w:type="dxa"/>
              <w:bottom w:w="90" w:type="dxa"/>
              <w:end w:w="110" w:type="dxa"/>
            </w:tcMar>
          </w:tcPr>
          <w:p>
            <w:pPr>
              <w:spacing w:after="0"/>
            </w:pPr>
            <w:r>
              <w:rPr>
                <w:rFonts w:ascii="Noto Sans CJK SC" w:hAnsi="Noto Sans CJK SC" w:eastAsia="Noto Sans CJK SC"/>
                <w:sz w:val="18"/>
              </w:rPr>
              <w:t>用户取消</w:t>
            </w:r>
          </w:p>
        </w:tc>
        <w:tc>
          <w:tcPr>
            <w:tcW w:type="dxa" w:w="6480"/>
            <w:vAlign w:val="center"/>
            <w:tcMar>
              <w:top w:w="90" w:type="dxa"/>
              <w:start w:w="110" w:type="dxa"/>
              <w:bottom w:w="90" w:type="dxa"/>
              <w:end w:w="110" w:type="dxa"/>
            </w:tcMar>
          </w:tcPr>
          <w:p>
            <w:pPr>
              <w:spacing w:after="0"/>
            </w:pPr>
            <w:r>
              <w:rPr>
                <w:rFonts w:ascii="Noto Sans CJK SC" w:hAnsi="Noto Sans CJK SC" w:eastAsia="Noto Sans CJK SC"/>
                <w:sz w:val="18"/>
              </w:rPr>
              <w:t>停止接收后续输出；已返回内容可保存为partial Candidate</w:t>
            </w:r>
          </w:p>
        </w:tc>
      </w:tr>
      <w:tr>
        <w:trPr>
          <w:cantSplit/>
        </w:trPr>
        <w:tc>
          <w:tcPr>
            <w:tcW w:type="dxa" w:w="2952"/>
            <w:vAlign w:val="center"/>
            <w:tcMar>
              <w:top w:w="90" w:type="dxa"/>
              <w:start w:w="110" w:type="dxa"/>
              <w:bottom w:w="90" w:type="dxa"/>
              <w:end w:w="110" w:type="dxa"/>
            </w:tcMar>
            <w:shd w:fill="F8FAFD"/>
          </w:tcPr>
          <w:p>
            <w:pPr>
              <w:spacing w:after="0"/>
            </w:pPr>
            <w:r>
              <w:rPr>
                <w:rFonts w:ascii="Noto Sans CJK SC" w:hAnsi="Noto Sans CJK SC" w:eastAsia="Noto Sans CJK SC"/>
                <w:sz w:val="18"/>
              </w:rPr>
              <w:t>请求失败或流中断</w:t>
            </w:r>
          </w:p>
        </w:tc>
        <w:tc>
          <w:tcPr>
            <w:tcW w:type="dxa" w:w="6480"/>
            <w:vAlign w:val="center"/>
            <w:tcMar>
              <w:top w:w="90" w:type="dxa"/>
              <w:start w:w="110" w:type="dxa"/>
              <w:bottom w:w="90" w:type="dxa"/>
              <w:end w:w="110" w:type="dxa"/>
            </w:tcMar>
            <w:shd w:fill="F8FAFD"/>
          </w:tcPr>
          <w:p>
            <w:pPr>
              <w:spacing w:after="0"/>
            </w:pPr>
            <w:r>
              <w:rPr>
                <w:rFonts w:ascii="Noto Sans CJK SC" w:hAnsi="Noto Sans CJK SC" w:eastAsia="Noto Sans CJK SC"/>
                <w:sz w:val="18"/>
              </w:rPr>
              <w:t>Draft不变；保留可解析部分并显示重试或保存素材</w:t>
            </w:r>
          </w:p>
        </w:tc>
      </w:tr>
    </w:tbl>
    <w:p>
      <w:pPr>
        <w:pStyle w:val="Heading2"/>
      </w:pPr>
      <w:r>
        <w:t>17.8 Candidate块级差异与采用算法</w:t>
      </w:r>
    </w:p>
    <w:p>
      <w:pPr>
        <w:spacing w:after="40"/>
      </w:pPr>
      <w:r>
        <w:t>1. 先按logicalBlockId匹配原块、候选块和当前Draft块。</w:t>
      </w:r>
    </w:p>
    <w:p>
      <w:pPr>
        <w:spacing w:after="40"/>
      </w:pPr>
      <w:r>
        <w:t>2. 对新增、删除、移动、拆分和合并执行结构Diff，明确显示块级操作。</w:t>
      </w:r>
    </w:p>
    <w:p>
      <w:pPr>
        <w:spacing w:after="40"/>
      </w:pPr>
      <w:r>
        <w:t>3. 结构匹配成功后，再在单个块内部执行中文文本Diff。</w:t>
      </w:r>
    </w:p>
    <w:p>
      <w:pPr>
        <w:spacing w:after="40"/>
      </w:pPr>
      <w:r>
        <w:t>4. 局部重写Candidate必须返回目标块映射和expectedHash；映射不可靠时禁止一键采用。</w:t>
      </w:r>
    </w:p>
    <w:p>
      <w:pPr>
        <w:spacing w:after="40"/>
      </w:pPr>
      <w:r>
        <w:t>5. 采用时只生成明确的Block Patch，并由Core再次校验Revision、Hash和锁定状态。</w:t>
      </w:r>
    </w:p>
    <w:p>
      <w:pPr>
        <w:spacing w:after="40"/>
      </w:pPr>
      <w:r>
        <w:t>6. 字符级Diff仅用于视觉高亮，不作为自动合并和数据身份依据。</w:t>
      </w:r>
    </w:p>
    <w:p>
      <w:pPr>
        <w:pStyle w:val="Heading2"/>
      </w:pPr>
      <w:r>
        <w:t>17.9 校验降噪与任务状态UI</w:t>
      </w:r>
    </w:p>
    <w:p>
      <w:r>
        <w:t>校验系统默认只突出高风险问题，写作建议由作者主动展开。忽略和静音只影响展示及后续提醒，不删除历史问题、正文锚点或作者处理记录。</w:t>
      </w:r>
    </w:p>
    <w:tbl>
      <w:tblPr>
        <w:tblW w:type="auto" w:w="0"/>
        <w:jc w:val="center"/>
        <w:tblLayout w:type="autofit"/>
        <w:tblLook w:firstColumn="1" w:firstRow="1" w:lastColumn="0" w:lastRow="0" w:noHBand="0" w:noVBand="1" w:val="04A0"/>
      </w:tblPr>
      <w:tblGrid>
        <w:gridCol w:w="4819"/>
        <w:gridCol w:w="4819"/>
      </w:tblGrid>
      <w:tr>
        <w:trPr>
          <w:tblHeader w:val="true"/>
          <w:tblHeader w:val="true"/>
          <w:cantSplit/>
        </w:trPr>
        <w:tc>
          <w:tcPr>
            <w:tcW w:type="dxa" w:w="2880"/>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操作</w:t>
            </w:r>
          </w:p>
        </w:tc>
        <w:tc>
          <w:tcPr>
            <w:tcW w:type="dxa" w:w="6552"/>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作用范围</w:t>
            </w:r>
          </w:p>
        </w:tc>
      </w:tr>
      <w:tr>
        <w:trPr>
          <w:cantSplit/>
        </w:trPr>
        <w:tc>
          <w:tcPr>
            <w:tcW w:type="dxa" w:w="2880"/>
            <w:vAlign w:val="center"/>
            <w:tcMar>
              <w:top w:w="90" w:type="dxa"/>
              <w:start w:w="110" w:type="dxa"/>
              <w:bottom w:w="90" w:type="dxa"/>
              <w:end w:w="110" w:type="dxa"/>
            </w:tcMar>
          </w:tcPr>
          <w:p>
            <w:pPr>
              <w:spacing w:after="0"/>
            </w:pPr>
            <w:r>
              <w:rPr>
                <w:rFonts w:ascii="Noto Sans CJK SC" w:hAnsi="Noto Sans CJK SC" w:eastAsia="Noto Sans CJK SC"/>
                <w:sz w:val="18"/>
              </w:rPr>
              <w:t>本次接受</w:t>
            </w:r>
          </w:p>
        </w:tc>
        <w:tc>
          <w:tcPr>
            <w:tcW w:type="dxa" w:w="6552"/>
            <w:vAlign w:val="center"/>
            <w:tcMar>
              <w:top w:w="90" w:type="dxa"/>
              <w:start w:w="110" w:type="dxa"/>
              <w:bottom w:w="90" w:type="dxa"/>
              <w:end w:w="110" w:type="dxa"/>
            </w:tcMar>
          </w:tcPr>
          <w:p>
            <w:pPr>
              <w:spacing w:after="0"/>
            </w:pPr>
            <w:r>
              <w:rPr>
                <w:rFonts w:ascii="Noto Sans CJK SC" w:hAnsi="Noto Sans CJK SC" w:eastAsia="Noto Sans CJK SC"/>
                <w:sz w:val="18"/>
              </w:rPr>
              <w:t>保留问题，标记作者已知且暂不修改</w:t>
            </w:r>
          </w:p>
        </w:tc>
      </w:tr>
      <w:tr>
        <w:trPr>
          <w:cantSplit/>
        </w:trPr>
        <w:tc>
          <w:tcPr>
            <w:tcW w:type="dxa" w:w="2880"/>
            <w:vAlign w:val="center"/>
            <w:tcMar>
              <w:top w:w="90" w:type="dxa"/>
              <w:start w:w="110" w:type="dxa"/>
              <w:bottom w:w="90" w:type="dxa"/>
              <w:end w:w="110" w:type="dxa"/>
            </w:tcMar>
            <w:shd w:fill="F8FAFD"/>
          </w:tcPr>
          <w:p>
            <w:pPr>
              <w:spacing w:after="0"/>
            </w:pPr>
            <w:r>
              <w:rPr>
                <w:rFonts w:ascii="Noto Sans CJK SC" w:hAnsi="Noto Sans CJK SC" w:eastAsia="Noto Sans CJK SC"/>
                <w:sz w:val="18"/>
              </w:rPr>
              <w:t>本章忽略</w:t>
            </w:r>
          </w:p>
        </w:tc>
        <w:tc>
          <w:tcPr>
            <w:tcW w:type="dxa" w:w="6552"/>
            <w:vAlign w:val="center"/>
            <w:tcMar>
              <w:top w:w="90" w:type="dxa"/>
              <w:start w:w="110" w:type="dxa"/>
              <w:bottom w:w="90" w:type="dxa"/>
              <w:end w:w="110" w:type="dxa"/>
            </w:tcMar>
            <w:shd w:fill="F8FAFD"/>
          </w:tcPr>
          <w:p>
            <w:pPr>
              <w:spacing w:after="0"/>
            </w:pPr>
            <w:r>
              <w:rPr>
                <w:rFonts w:ascii="Noto Sans CJK SC" w:hAnsi="Noto Sans CJK SC" w:eastAsia="Noto Sans CJK SC"/>
                <w:sz w:val="18"/>
              </w:rPr>
              <w:t>当前章节不再突出同一问题实例</w:t>
            </w:r>
          </w:p>
        </w:tc>
      </w:tr>
      <w:tr>
        <w:trPr>
          <w:cantSplit/>
        </w:trPr>
        <w:tc>
          <w:tcPr>
            <w:tcW w:type="dxa" w:w="2880"/>
            <w:vAlign w:val="center"/>
            <w:tcMar>
              <w:top w:w="90" w:type="dxa"/>
              <w:start w:w="110" w:type="dxa"/>
              <w:bottom w:w="90" w:type="dxa"/>
              <w:end w:w="110" w:type="dxa"/>
            </w:tcMar>
          </w:tcPr>
          <w:p>
            <w:pPr>
              <w:spacing w:after="0"/>
            </w:pPr>
            <w:r>
              <w:rPr>
                <w:rFonts w:ascii="Noto Sans CJK SC" w:hAnsi="Noto Sans CJK SC" w:eastAsia="Noto Sans CJK SC"/>
                <w:sz w:val="18"/>
              </w:rPr>
              <w:t>本项目静音规则</w:t>
            </w:r>
          </w:p>
        </w:tc>
        <w:tc>
          <w:tcPr>
            <w:tcW w:type="dxa" w:w="6552"/>
            <w:vAlign w:val="center"/>
            <w:tcMar>
              <w:top w:w="90" w:type="dxa"/>
              <w:start w:w="110" w:type="dxa"/>
              <w:bottom w:w="90" w:type="dxa"/>
              <w:end w:w="110" w:type="dxa"/>
            </w:tcMar>
          </w:tcPr>
          <w:p>
            <w:pPr>
              <w:spacing w:after="0"/>
            </w:pPr>
            <w:r>
              <w:rPr>
                <w:rFonts w:ascii="Noto Sans CJK SC" w:hAnsi="Noto Sans CJK SC" w:eastAsia="Noto Sans CJK SC"/>
                <w:sz w:val="18"/>
              </w:rPr>
              <w:t>后续不主动展示该规则，但可在“已静音”中恢复</w:t>
            </w:r>
          </w:p>
        </w:tc>
      </w:tr>
      <w:tr>
        <w:trPr>
          <w:cantSplit/>
        </w:trPr>
        <w:tc>
          <w:tcPr>
            <w:tcW w:type="dxa" w:w="2880"/>
            <w:vAlign w:val="center"/>
            <w:tcMar>
              <w:top w:w="90" w:type="dxa"/>
              <w:start w:w="110" w:type="dxa"/>
              <w:bottom w:w="90" w:type="dxa"/>
              <w:end w:w="110" w:type="dxa"/>
            </w:tcMar>
            <w:shd w:fill="F8FAFD"/>
          </w:tcPr>
          <w:p>
            <w:pPr>
              <w:spacing w:after="0"/>
            </w:pPr>
            <w:r>
              <w:rPr>
                <w:rFonts w:ascii="Noto Sans CJK SC" w:hAnsi="Noto Sans CJK SC" w:eastAsia="Noto Sans CJK SC"/>
                <w:sz w:val="18"/>
              </w:rPr>
              <w:t>降低级别</w:t>
            </w:r>
          </w:p>
        </w:tc>
        <w:tc>
          <w:tcPr>
            <w:tcW w:type="dxa" w:w="6552"/>
            <w:vAlign w:val="center"/>
            <w:tcMar>
              <w:top w:w="90" w:type="dxa"/>
              <w:start w:w="110" w:type="dxa"/>
              <w:bottom w:w="90" w:type="dxa"/>
              <w:end w:w="110" w:type="dxa"/>
            </w:tcMar>
            <w:shd w:fill="F8FAFD"/>
          </w:tcPr>
          <w:p>
            <w:pPr>
              <w:spacing w:after="0"/>
            </w:pPr>
            <w:r>
              <w:rPr>
                <w:rFonts w:ascii="Noto Sans CJK SC" w:hAnsi="Noto Sans CJK SC" w:eastAsia="Noto Sans CJK SC"/>
                <w:sz w:val="18"/>
              </w:rPr>
              <w:t>将规则从高风险降为建议，仅影响当前项目</w:t>
            </w:r>
          </w:p>
        </w:tc>
      </w:tr>
      <w:tr>
        <w:trPr>
          <w:cantSplit/>
        </w:trPr>
        <w:tc>
          <w:tcPr>
            <w:tcW w:type="dxa" w:w="2880"/>
            <w:vAlign w:val="center"/>
            <w:tcMar>
              <w:top w:w="90" w:type="dxa"/>
              <w:start w:w="110" w:type="dxa"/>
              <w:bottom w:w="90" w:type="dxa"/>
              <w:end w:w="110" w:type="dxa"/>
            </w:tcMar>
          </w:tcPr>
          <w:p>
            <w:pPr>
              <w:spacing w:after="0"/>
            </w:pPr>
            <w:r>
              <w:rPr>
                <w:rFonts w:ascii="Noto Sans CJK SC" w:hAnsi="Noto Sans CJK SC" w:eastAsia="Noto Sans CJK SC"/>
                <w:sz w:val="18"/>
              </w:rPr>
              <w:t>标记误报</w:t>
            </w:r>
          </w:p>
        </w:tc>
        <w:tc>
          <w:tcPr>
            <w:tcW w:type="dxa" w:w="6552"/>
            <w:vAlign w:val="center"/>
            <w:tcMar>
              <w:top w:w="90" w:type="dxa"/>
              <w:start w:w="110" w:type="dxa"/>
              <w:bottom w:w="90" w:type="dxa"/>
              <w:end w:w="110" w:type="dxa"/>
            </w:tcMar>
          </w:tcPr>
          <w:p>
            <w:pPr>
              <w:spacing w:after="0"/>
            </w:pPr>
            <w:r>
              <w:rPr>
                <w:rFonts w:ascii="Noto Sans CJK SC" w:hAnsi="Noto Sans CJK SC" w:eastAsia="Noto Sans CJK SC"/>
                <w:sz w:val="18"/>
              </w:rPr>
              <w:t>记录问题与证据，供本地Eval和规则修正使用</w:t>
            </w:r>
          </w:p>
        </w:tc>
      </w:tr>
    </w:tbl>
    <w:p>
      <w:pPr>
        <w:jc w:val="center"/>
      </w:pPr>
      <w:r>
        <w:drawing>
          <wp:inline xmlns:a="http://schemas.openxmlformats.org/drawingml/2006/main" xmlns:pic="http://schemas.openxmlformats.org/drawingml/2006/picture">
            <wp:extent cx="6263640" cy="3523298"/>
            <wp:docPr id="13" name="Picture 13" descr="AI任务状态与校验降噪界面，展示任务进度、高风险问题和静音规则。" title="AI任务状态与校验降噪界面，展示任务进度、高风险问题和静音规则。"/>
            <wp:cNvGraphicFramePr>
              <a:graphicFrameLocks noChangeAspect="1"/>
            </wp:cNvGraphicFramePr>
            <a:graphic>
              <a:graphicData uri="http://schemas.openxmlformats.org/drawingml/2006/picture">
                <pic:pic>
                  <pic:nvPicPr>
                    <pic:cNvPr id="0" name="09_run_and_noise.png"/>
                    <pic:cNvPicPr/>
                  </pic:nvPicPr>
                  <pic:blipFill>
                    <a:blip r:embed="rId22"/>
                    <a:stretch>
                      <a:fillRect/>
                    </a:stretch>
                  </pic:blipFill>
                  <pic:spPr>
                    <a:xfrm>
                      <a:off x="0" y="0"/>
                      <a:ext cx="6263640" cy="3523298"/>
                    </a:xfrm>
                    <a:prstGeom prst="rect"/>
                  </pic:spPr>
                </pic:pic>
              </a:graphicData>
            </a:graphic>
          </wp:inline>
        </w:drawing>
      </w:r>
    </w:p>
    <w:p>
      <w:pPr>
        <w:jc w:val="center"/>
      </w:pPr>
      <w:r>
        <w:rPr>
          <w:i/>
          <w:color w:val="64748B"/>
          <w:sz w:val="18"/>
        </w:rPr>
        <w:t>图17-3 AI任务状态与校验降噪</w:t>
      </w:r>
    </w:p>
    <w:p>
      <w:pPr>
        <w:pStyle w:val="Heading2"/>
      </w:pPr>
      <w:r>
        <w:t>17.10 原型验证与最终发布门槛</w:t>
      </w:r>
    </w:p>
    <w:p>
      <w:r>
        <w:t>正式实施完整UI前，先制作覆盖核心流程的可点击原型。每类邀请3-5名第一次系统写长篇的作者和3-5名有长篇经验的作者，不提供操作讲解，记录完成率、误操作和停顿位置。</w:t>
      </w:r>
    </w:p>
    <w:tbl>
      <w:tblPr>
        <w:tblW w:type="auto" w:w="0"/>
        <w:jc w:val="center"/>
        <w:tblLayout w:type="autofit"/>
        <w:tblLook w:firstColumn="1" w:firstRow="1" w:lastColumn="0" w:lastRow="0" w:noHBand="0" w:noVBand="1" w:val="04A0"/>
      </w:tblPr>
      <w:tblGrid>
        <w:gridCol w:w="4819"/>
        <w:gridCol w:w="4819"/>
      </w:tblGrid>
      <w:tr>
        <w:trPr>
          <w:tblHeader w:val="true"/>
          <w:tblHeader w:val="true"/>
          <w:cantSplit/>
        </w:trPr>
        <w:tc>
          <w:tcPr>
            <w:tcW w:type="dxa" w:w="3528"/>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任务</w:t>
            </w:r>
          </w:p>
        </w:tc>
        <w:tc>
          <w:tcPr>
            <w:tcW w:type="dxa" w:w="5904"/>
            <w:vAlign w:val="center"/>
            <w:tcMar>
              <w:top w:w="90" w:type="dxa"/>
              <w:start w:w="110" w:type="dxa"/>
              <w:bottom w:w="90" w:type="dxa"/>
              <w:end w:w="110" w:type="dxa"/>
            </w:tcMar>
            <w:shd w:fill="EAF0FF"/>
          </w:tcPr>
          <w:p>
            <w:pPr>
              <w:spacing w:after="0"/>
            </w:pPr>
            <w:r>
              <w:rPr>
                <w:rFonts w:ascii="Noto Sans CJK SC" w:hAnsi="Noto Sans CJK SC" w:eastAsia="Noto Sans CJK SC"/>
                <w:b/>
                <w:color w:val="1F2937"/>
                <w:sz w:val="18"/>
              </w:rPr>
              <w:t>通过标准</w:t>
            </w:r>
          </w:p>
        </w:tc>
      </w:tr>
      <w:tr>
        <w:trPr>
          <w:cantSplit/>
        </w:trPr>
        <w:tc>
          <w:tcPr>
            <w:tcW w:type="dxa" w:w="3528"/>
            <w:vAlign w:val="center"/>
            <w:tcMar>
              <w:top w:w="90" w:type="dxa"/>
              <w:start w:w="110" w:type="dxa"/>
              <w:bottom w:w="90" w:type="dxa"/>
              <w:end w:w="110" w:type="dxa"/>
            </w:tcMar>
          </w:tcPr>
          <w:p>
            <w:pPr>
              <w:spacing w:after="0"/>
            </w:pPr>
            <w:r>
              <w:rPr>
                <w:rFonts w:ascii="Noto Sans CJK SC" w:hAnsi="Noto Sans CJK SC" w:eastAsia="Noto Sans CJK SC"/>
                <w:sz w:val="18"/>
              </w:rPr>
              <w:t>新建作品并进入第一章</w:t>
            </w:r>
          </w:p>
        </w:tc>
        <w:tc>
          <w:tcPr>
            <w:tcW w:type="dxa" w:w="5904"/>
            <w:vAlign w:val="center"/>
            <w:tcMar>
              <w:top w:w="90" w:type="dxa"/>
              <w:start w:w="110" w:type="dxa"/>
              <w:bottom w:w="90" w:type="dxa"/>
              <w:end w:w="110" w:type="dxa"/>
            </w:tcMar>
          </w:tcPr>
          <w:p>
            <w:pPr>
              <w:spacing w:after="0"/>
            </w:pPr>
            <w:r>
              <w:rPr>
                <w:rFonts w:ascii="Noto Sans CJK SC" w:hAnsi="Noto Sans CJK SC" w:eastAsia="Noto Sans CJK SC"/>
                <w:sz w:val="18"/>
              </w:rPr>
              <w:t>新手中位完成时间≤5分钟，完成率≥80%</w:t>
            </w:r>
          </w:p>
        </w:tc>
      </w:tr>
      <w:tr>
        <w:trPr>
          <w:cantSplit/>
        </w:trPr>
        <w:tc>
          <w:tcPr>
            <w:tcW w:type="dxa" w:w="3528"/>
            <w:vAlign w:val="center"/>
            <w:tcMar>
              <w:top w:w="90" w:type="dxa"/>
              <w:start w:w="110" w:type="dxa"/>
              <w:bottom w:w="90" w:type="dxa"/>
              <w:end w:w="110" w:type="dxa"/>
            </w:tcMar>
            <w:shd w:fill="F8FAFD"/>
          </w:tcPr>
          <w:p>
            <w:pPr>
              <w:spacing w:after="0"/>
            </w:pPr>
            <w:r>
              <w:rPr>
                <w:rFonts w:ascii="Noto Sans CJK SC" w:hAnsi="Noto Sans CJK SC" w:eastAsia="Noto Sans CJK SC"/>
                <w:sz w:val="18"/>
              </w:rPr>
              <w:t>手写一段并锁定</w:t>
            </w:r>
          </w:p>
        </w:tc>
        <w:tc>
          <w:tcPr>
            <w:tcW w:type="dxa" w:w="5904"/>
            <w:vAlign w:val="center"/>
            <w:tcMar>
              <w:top w:w="90" w:type="dxa"/>
              <w:start w:w="110" w:type="dxa"/>
              <w:bottom w:w="90" w:type="dxa"/>
              <w:end w:w="110" w:type="dxa"/>
            </w:tcMar>
            <w:shd w:fill="F8FAFD"/>
          </w:tcPr>
          <w:p>
            <w:pPr>
              <w:spacing w:after="0"/>
            </w:pPr>
            <w:r>
              <w:rPr>
                <w:rFonts w:ascii="Noto Sans CJK SC" w:hAnsi="Noto Sans CJK SC" w:eastAsia="Noto Sans CJK SC"/>
                <w:sz w:val="18"/>
              </w:rPr>
              <w:t>用户能理解锁定结果，锁定内容无法被AI覆盖</w:t>
            </w:r>
          </w:p>
        </w:tc>
      </w:tr>
      <w:tr>
        <w:trPr>
          <w:cantSplit/>
        </w:trPr>
        <w:tc>
          <w:tcPr>
            <w:tcW w:type="dxa" w:w="3528"/>
            <w:vAlign w:val="center"/>
            <w:tcMar>
              <w:top w:w="90" w:type="dxa"/>
              <w:start w:w="110" w:type="dxa"/>
              <w:bottom w:w="90" w:type="dxa"/>
              <w:end w:w="110" w:type="dxa"/>
            </w:tcMar>
          </w:tcPr>
          <w:p>
            <w:pPr>
              <w:spacing w:after="0"/>
            </w:pPr>
            <w:r>
              <w:rPr>
                <w:rFonts w:ascii="Noto Sans CJK SC" w:hAnsi="Noto Sans CJK SC" w:eastAsia="Noto Sans CJK SC"/>
                <w:sz w:val="18"/>
              </w:rPr>
              <w:t>生成候选并只采用一段</w:t>
            </w:r>
          </w:p>
        </w:tc>
        <w:tc>
          <w:tcPr>
            <w:tcW w:type="dxa" w:w="5904"/>
            <w:vAlign w:val="center"/>
            <w:tcMar>
              <w:top w:w="90" w:type="dxa"/>
              <w:start w:w="110" w:type="dxa"/>
              <w:bottom w:w="90" w:type="dxa"/>
              <w:end w:w="110" w:type="dxa"/>
            </w:tcMar>
          </w:tcPr>
          <w:p>
            <w:pPr>
              <w:spacing w:after="0"/>
            </w:pPr>
            <w:r>
              <w:rPr>
                <w:rFonts w:ascii="Noto Sans CJK SC" w:hAnsi="Noto Sans CJK SC" w:eastAsia="Noto Sans CJK SC"/>
                <w:sz w:val="18"/>
              </w:rPr>
              <w:t>完成率≥80%，没有误覆盖当前稿</w:t>
            </w:r>
          </w:p>
        </w:tc>
      </w:tr>
      <w:tr>
        <w:trPr>
          <w:cantSplit/>
        </w:trPr>
        <w:tc>
          <w:tcPr>
            <w:tcW w:type="dxa" w:w="3528"/>
            <w:vAlign w:val="center"/>
            <w:tcMar>
              <w:top w:w="90" w:type="dxa"/>
              <w:start w:w="110" w:type="dxa"/>
              <w:bottom w:w="90" w:type="dxa"/>
              <w:end w:w="110" w:type="dxa"/>
            </w:tcMar>
            <w:shd w:fill="F8FAFD"/>
          </w:tcPr>
          <w:p>
            <w:pPr>
              <w:spacing w:after="0"/>
            </w:pPr>
            <w:r>
              <w:rPr>
                <w:rFonts w:ascii="Noto Sans CJK SC" w:hAnsi="Noto Sans CJK SC" w:eastAsia="Noto Sans CJK SC"/>
                <w:sz w:val="18"/>
              </w:rPr>
              <w:t>生成期间修改正文并处理冲突</w:t>
            </w:r>
          </w:p>
        </w:tc>
        <w:tc>
          <w:tcPr>
            <w:tcW w:type="dxa" w:w="5904"/>
            <w:vAlign w:val="center"/>
            <w:tcMar>
              <w:top w:w="90" w:type="dxa"/>
              <w:start w:w="110" w:type="dxa"/>
              <w:bottom w:w="90" w:type="dxa"/>
              <w:end w:w="110" w:type="dxa"/>
            </w:tcMar>
            <w:shd w:fill="F8FAFD"/>
          </w:tcPr>
          <w:p>
            <w:pPr>
              <w:spacing w:after="0"/>
            </w:pPr>
            <w:r>
              <w:rPr>
                <w:rFonts w:ascii="Noto Sans CJK SC" w:hAnsi="Noto Sans CJK SC" w:eastAsia="Noto Sans CJK SC"/>
                <w:sz w:val="18"/>
              </w:rPr>
              <w:t>用户能识别当前稿与备选稿并完成选择</w:t>
            </w:r>
          </w:p>
        </w:tc>
      </w:tr>
      <w:tr>
        <w:trPr>
          <w:cantSplit/>
        </w:trPr>
        <w:tc>
          <w:tcPr>
            <w:tcW w:type="dxa" w:w="3528"/>
            <w:vAlign w:val="center"/>
            <w:tcMar>
              <w:top w:w="90" w:type="dxa"/>
              <w:start w:w="110" w:type="dxa"/>
              <w:bottom w:w="90" w:type="dxa"/>
              <w:end w:w="110" w:type="dxa"/>
            </w:tcMar>
          </w:tcPr>
          <w:p>
            <w:pPr>
              <w:spacing w:after="0"/>
            </w:pPr>
            <w:r>
              <w:rPr>
                <w:rFonts w:ascii="Noto Sans CJK SC" w:hAnsi="Noto Sans CJK SC" w:eastAsia="Noto Sans CJK SC"/>
                <w:sz w:val="18"/>
              </w:rPr>
              <w:t>定稿后确认状态并导出</w:t>
            </w:r>
          </w:p>
        </w:tc>
        <w:tc>
          <w:tcPr>
            <w:tcW w:type="dxa" w:w="5904"/>
            <w:vAlign w:val="center"/>
            <w:tcMar>
              <w:top w:w="90" w:type="dxa"/>
              <w:start w:w="110" w:type="dxa"/>
              <w:bottom w:w="90" w:type="dxa"/>
              <w:end w:w="110" w:type="dxa"/>
            </w:tcMar>
          </w:tcPr>
          <w:p>
            <w:pPr>
              <w:spacing w:after="0"/>
            </w:pPr>
            <w:r>
              <w:rPr>
                <w:rFonts w:ascii="Noto Sans CJK SC" w:hAnsi="Noto Sans CJK SC" w:eastAsia="Noto Sans CJK SC"/>
                <w:sz w:val="18"/>
              </w:rPr>
              <w:t>用户能找到状态证据、完成确认并导出目标Version</w:t>
            </w:r>
          </w:p>
        </w:tc>
      </w:tr>
      <w:tr>
        <w:trPr>
          <w:cantSplit/>
        </w:trPr>
        <w:tc>
          <w:tcPr>
            <w:tcW w:type="dxa" w:w="3528"/>
            <w:vAlign w:val="center"/>
            <w:tcMar>
              <w:top w:w="90" w:type="dxa"/>
              <w:start w:w="110" w:type="dxa"/>
              <w:bottom w:w="90" w:type="dxa"/>
              <w:end w:w="110" w:type="dxa"/>
            </w:tcMar>
            <w:shd w:fill="F8FAFD"/>
          </w:tcPr>
          <w:p>
            <w:pPr>
              <w:spacing w:after="0"/>
            </w:pPr>
            <w:r>
              <w:rPr>
                <w:rFonts w:ascii="Noto Sans CJK SC" w:hAnsi="Noto Sans CJK SC" w:eastAsia="Noto Sans CJK SC"/>
                <w:sz w:val="18"/>
              </w:rPr>
              <w:t>导入已有作品并修正分章</w:t>
            </w:r>
          </w:p>
        </w:tc>
        <w:tc>
          <w:tcPr>
            <w:tcW w:type="dxa" w:w="5904"/>
            <w:vAlign w:val="center"/>
            <w:tcMar>
              <w:top w:w="90" w:type="dxa"/>
              <w:start w:w="110" w:type="dxa"/>
              <w:bottom w:w="90" w:type="dxa"/>
              <w:end w:w="110" w:type="dxa"/>
            </w:tcMar>
            <w:shd w:fill="F8FAFD"/>
          </w:tcPr>
          <w:p>
            <w:pPr>
              <w:spacing w:after="0"/>
            </w:pPr>
            <w:r>
              <w:rPr>
                <w:rFonts w:ascii="Noto Sans CJK SC" w:hAnsi="Noto Sans CJK SC" w:eastAsia="Noto Sans CJK SC"/>
                <w:sz w:val="18"/>
              </w:rPr>
              <w:t>用户能在提交前识别和修正至少一个边界问题</w:t>
            </w:r>
          </w:p>
        </w:tc>
      </w:tr>
    </w:tbl>
    <w:p>
      <w:r>
        <w:t>冻结原则：未通过上述核心任务及UX-14至UX-18验证时，只调整交互、默认值和信息层级，不新增一级模块、复杂状态机或未来兼容抽象。</w:t>
      </w:r>
    </w:p>
    <w:tbl>
      <w:tblPr>
        <w:tblW w:type="auto" w:w="0"/>
        <w:jc w:val="center"/>
        <w:tblLayout w:type="autofit"/>
        <w:tblLook w:firstColumn="1" w:firstRow="1" w:lastColumn="0" w:lastRow="0" w:noHBand="0" w:noVBand="1" w:val="04A0"/>
      </w:tblPr>
      <w:tblGrid>
        <w:gridCol w:w="4819"/>
        <w:gridCol w:w="4819"/>
      </w:tblGrid>
      <w:tr>
        <w:trPr>
          <w:tblHeader w:val="true"/>
          <w:cantSplit/>
        </w:trPr>
        <w:tc>
          <w:tcPr>
            <w:tcW w:type="dxa" w:w="2376"/>
            <w:vAlign w:val="center"/>
            <w:tcMar>
              <w:top w:w="90" w:type="dxa"/>
              <w:start w:w="110" w:type="dxa"/>
              <w:bottom w:w="90" w:type="dxa"/>
              <w:end w:w="110" w:type="dxa"/>
            </w:tcMar>
            <w:shd w:fill="315FF6"/>
          </w:tcPr>
          <w:p>
            <w:r>
              <w:t>V6.4最终范围</w:t>
            </w:r>
          </w:p>
        </w:tc>
        <w:tc>
          <w:tcPr>
            <w:tcW w:type="dxa" w:w="7056"/>
            <w:vAlign w:val="center"/>
            <w:tcMar>
              <w:top w:w="90" w:type="dxa"/>
              <w:start w:w="110" w:type="dxa"/>
              <w:bottom w:w="90" w:type="dxa"/>
              <w:end w:w="110" w:type="dxa"/>
            </w:tcMar>
            <w:shd w:fill="EEF3FF"/>
          </w:tcPr>
          <w:p>
            <w:pPr>
              <w:spacing w:after="0"/>
            </w:pPr>
            <w:r>
              <w:rPr>
                <w:rFonts w:ascii="Noto Sans CJK SC" w:hAnsi="Noto Sans CJK SC" w:eastAsia="Noto Sans CJK SC"/>
                <w:b/>
                <w:color w:val="1F2937"/>
                <w:sz w:val="18"/>
              </w:rPr>
              <w:t>规划、正文、AI候选、连续性、修订、版本、导入导出与本地备份。场景联动、章节拆并、校对词典、运行状态、候选Diff和降噪已纳入基础闭环；运营、协作、模型管理和向量检索继续排除。</w:t>
            </w:r>
          </w:p>
        </w:tc>
      </w:tr>
    </w:tbl>
    <w:p>
      <w:pPr>
        <w:pStyle w:val="Heading1"/>
        <w:pageBreakBefore/>
      </w:pPr>
      <w:r>
        <w:rPr>
          <w:b w:val="0"/>
        </w:rPr>
        <w:t>18. 基础功能与交互闭环</w:t>
      </w:r>
    </w:p>
    <w:p>
      <w:r>
        <w:rPr>
          <w:b w:val="0"/>
        </w:rPr>
        <w:t>本章冻结v1基础能力的最终边界。目标不是增加新的业务中心，而是保证作者在日常使用中不会因误删、断电、粘贴异常、统计口径、设置分散或导入失败而中断创作。以下规则优先于早期章节中的概括性描述。</w:t>
      </w:r>
    </w:p>
    <w:p>
      <w:pPr>
        <w:pStyle w:val="Heading2"/>
      </w:pPr>
      <w:r>
        <w:rPr>
          <w:b w:val="0"/>
        </w:rPr>
        <w:t>18.1 闭环范围与完成标准</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656"/>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领域</w:t>
            </w:r>
          </w:p>
        </w:tc>
        <w:tc>
          <w:tcPr>
            <w:tcW w:type="dxa" w:w="4464"/>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闭环结果</w:t>
            </w:r>
          </w:p>
        </w:tc>
        <w:tc>
          <w:tcPr>
            <w:tcW w:type="dxa" w:w="3168"/>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不进入v1的扩展</w:t>
            </w:r>
          </w:p>
        </w:tc>
      </w:tr>
      <w:tr>
        <w:tc>
          <w:tcPr>
            <w:tcW w:type="dxa" w:w="165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删除恢复</w:t>
            </w:r>
          </w:p>
        </w:tc>
        <w:tc>
          <w:tcPr>
            <w:tcW w:type="dxa" w:w="446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卷、章节、场景卡可进入回收站、恢复或永久删除</w:t>
            </w:r>
          </w:p>
        </w:tc>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版本垃圾回收策略、自动到期清理</w:t>
            </w:r>
          </w:p>
        </w:tc>
      </w:tr>
      <w:tr>
        <w:tc>
          <w:tcPr>
            <w:tcW w:type="dxa" w:w="165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备份恢复</w:t>
            </w:r>
          </w:p>
        </w:tc>
        <w:tc>
          <w:tcPr>
            <w:tcW w:type="dxa" w:w="446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手动备份、滚动自动备份、重大操作恢复点、恢复副本</w:t>
            </w:r>
          </w:p>
        </w:tc>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云备份、跨设备同步</w:t>
            </w:r>
          </w:p>
        </w:tc>
      </w:tr>
      <w:tr>
        <w:tc>
          <w:tcPr>
            <w:tcW w:type="dxa" w:w="165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编辑器基础</w:t>
            </w:r>
          </w:p>
        </w:tc>
        <w:tc>
          <w:tcPr>
            <w:tcW w:type="dxa" w:w="446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粘贴、格式、IME、撤销、查找、长章性能规则明确</w:t>
            </w:r>
          </w:p>
        </w:tc>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复杂排版、协同编辑</w:t>
            </w:r>
          </w:p>
        </w:tc>
      </w:tr>
      <w:tr>
        <w:tc>
          <w:tcPr>
            <w:tcW w:type="dxa" w:w="165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字数与目标</w:t>
            </w:r>
          </w:p>
        </w:tc>
        <w:tc>
          <w:tcPr>
            <w:tcW w:type="dxa" w:w="446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统一统计口径、章节/全书/今日字数、目标进度</w:t>
            </w:r>
          </w:p>
        </w:tc>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平台运营预测和打卡成就</w:t>
            </w:r>
          </w:p>
        </w:tc>
      </w:tr>
      <w:tr>
        <w:tc>
          <w:tcPr>
            <w:tcW w:type="dxa" w:w="165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统一设置</w:t>
            </w:r>
          </w:p>
        </w:tc>
        <w:tc>
          <w:tcPr>
            <w:tcW w:type="dxa" w:w="446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所有常用设置集中，应用默认可被项目覆盖</w:t>
            </w:r>
          </w:p>
        </w:tc>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账号同步和远程配置</w:t>
            </w:r>
          </w:p>
        </w:tc>
      </w:tr>
      <w:tr>
        <w:tc>
          <w:tcPr>
            <w:tcW w:type="dxa" w:w="165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导入导出</w:t>
            </w:r>
          </w:p>
        </w:tc>
        <w:tc>
          <w:tcPr>
            <w:tcW w:type="dxa" w:w="446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编码识别、预览修正、失败回滚、原子导出</w:t>
            </w:r>
          </w:p>
        </w:tc>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完整复刻复杂Word版式</w:t>
            </w:r>
          </w:p>
        </w:tc>
      </w:tr>
    </w:tbl>
    <w:p>
      <w:pPr>
        <w:pStyle w:val="Heading2"/>
      </w:pPr>
      <w:r>
        <w:rPr>
          <w:b w:val="0"/>
        </w:rPr>
        <w:t>18.2 卷章生命周期、回收站与恢复</w:t>
      </w:r>
    </w:p>
    <w:p>
      <w:r>
        <w:rPr>
          <w:b w:val="0"/>
        </w:rPr>
        <w:t>删除是可逆操作。普通删除只写入deletedAt、deletedFromParentId和deletedOrderKey，不删除正文块、历史Version、批注和关联信息。回收站按项目隔离，不提供跨项目恢复。</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00"/>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操作</w:t>
            </w:r>
          </w:p>
        </w:tc>
        <w:tc>
          <w:tcPr>
            <w:tcW w:type="dxa" w:w="4392"/>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默认行为</w:t>
            </w:r>
          </w:p>
        </w:tc>
        <w:tc>
          <w:tcPr>
            <w:tcW w:type="dxa" w:w="3096"/>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交互反馈</w:t>
            </w:r>
          </w:p>
        </w:tc>
      </w:tr>
      <w:tr>
        <w:tc>
          <w:tcPr>
            <w:tcW w:type="dxa" w:w="180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删除章节/卷</w:t>
            </w:r>
          </w:p>
        </w:tc>
        <w:tc>
          <w:tcPr>
            <w:tcW w:type="dxa" w:w="43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移入回收站；从作品树隐藏</w:t>
            </w:r>
          </w:p>
        </w:tc>
        <w:tc>
          <w:tcPr>
            <w:tcW w:type="dxa" w:w="309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底部提示“已移入回收站”，提供短时撤销</w:t>
            </w:r>
          </w:p>
        </w:tc>
      </w:tr>
      <w:tr>
        <w:tc>
          <w:tcPr>
            <w:tcW w:type="dxa" w:w="180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恢复</w:t>
            </w:r>
          </w:p>
        </w:tc>
        <w:tc>
          <w:tcPr>
            <w:tcW w:type="dxa" w:w="43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优先恢复原父节点和原顺序</w:t>
            </w:r>
          </w:p>
        </w:tc>
        <w:tc>
          <w:tcPr>
            <w:tcW w:type="dxa" w:w="309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原位置不存在或重名时要求选择新位置/新名称</w:t>
            </w:r>
          </w:p>
        </w:tc>
      </w:tr>
      <w:tr>
        <w:tc>
          <w:tcPr>
            <w:tcW w:type="dxa" w:w="180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永久删除</w:t>
            </w:r>
          </w:p>
        </w:tc>
        <w:tc>
          <w:tcPr>
            <w:tcW w:type="dxa" w:w="43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二次确认后删除活动Draft和业务实体</w:t>
            </w:r>
          </w:p>
        </w:tc>
        <w:tc>
          <w:tcPr>
            <w:tcW w:type="dxa" w:w="309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明确列出保留/删除的历史版本和附件</w:t>
            </w:r>
          </w:p>
        </w:tc>
      </w:tr>
      <w:tr>
        <w:tc>
          <w:tcPr>
            <w:tcW w:type="dxa" w:w="180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复制章节</w:t>
            </w:r>
          </w:p>
        </w:tc>
        <w:tc>
          <w:tcPr>
            <w:tcW w:type="dxa" w:w="43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复制规划和当前稿为新章节；不复制发布标记</w:t>
            </w:r>
          </w:p>
        </w:tc>
        <w:tc>
          <w:tcPr>
            <w:tcW w:type="dxa" w:w="309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新章节名称自动追加“副本”，可立即重命名</w:t>
            </w:r>
          </w:p>
        </w:tc>
      </w:tr>
      <w:tr>
        <w:tc>
          <w:tcPr>
            <w:tcW w:type="dxa" w:w="180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归档</w:t>
            </w:r>
          </w:p>
        </w:tc>
        <w:tc>
          <w:tcPr>
            <w:tcW w:type="dxa" w:w="43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从活跃目录隐藏但不进入回收站</w:t>
            </w:r>
          </w:p>
        </w:tc>
        <w:tc>
          <w:tcPr>
            <w:tcW w:type="dxa" w:w="309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可在归档筛选中恢复显示</w:t>
            </w:r>
          </w:p>
        </w:tc>
      </w:tr>
      <w:tr>
        <w:tc>
          <w:tcPr>
            <w:tcW w:type="dxa" w:w="180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批量排序</w:t>
            </w:r>
          </w:p>
        </w:tc>
        <w:tc>
          <w:tcPr>
            <w:tcW w:type="dxa" w:w="43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只修改orderKey，不改正文和Version</w:t>
            </w:r>
          </w:p>
        </w:tc>
        <w:tc>
          <w:tcPr>
            <w:tcW w:type="dxa" w:w="309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提交前预览新顺序</w:t>
            </w:r>
          </w:p>
        </w:tc>
      </w:tr>
    </w:tbl>
    <w:p>
      <w:pPr>
        <w:jc w:val="center"/>
      </w:pPr>
      <w:r>
        <w:drawing>
          <wp:inline xmlns:a="http://schemas.openxmlformats.org/drawingml/2006/main" xmlns:pic="http://schemas.openxmlformats.org/drawingml/2006/picture">
            <wp:extent cx="5943600" cy="3491865"/>
            <wp:docPr id="14" name="Picture 14" descr="恢复与安全页面，包含回收站列表和自动备份状态。" title="图18-1 回收站与自动备份入口"/>
            <wp:cNvGraphicFramePr>
              <a:graphicFrameLocks noChangeAspect="1"/>
            </wp:cNvGraphicFramePr>
            <a:graphic>
              <a:graphicData uri="http://schemas.openxmlformats.org/drawingml/2006/picture">
                <pic:pic>
                  <pic:nvPicPr>
                    <pic:cNvPr id="0" name="recovery_center.png"/>
                    <pic:cNvPicPr/>
                  </pic:nvPicPr>
                  <pic:blipFill>
                    <a:blip r:embed="rId23"/>
                    <a:stretch>
                      <a:fillRect/>
                    </a:stretch>
                  </pic:blipFill>
                  <pic:spPr>
                    <a:xfrm>
                      <a:off x="0" y="0"/>
                      <a:ext cx="5943600" cy="3491865"/>
                    </a:xfrm>
                    <a:prstGeom prst="rect"/>
                  </pic:spPr>
                </pic:pic>
              </a:graphicData>
            </a:graphic>
          </wp:inline>
        </w:drawing>
      </w:r>
    </w:p>
    <w:p>
      <w:pPr>
        <w:jc w:val="center"/>
      </w:pPr>
      <w:r>
        <w:rPr>
          <w:i/>
          <w:color w:val="687386"/>
          <w:sz w:val="18"/>
        </w:rPr>
        <w:t>图18-1 回收站与自动备份入口</w:t>
      </w:r>
    </w:p>
    <w:p>
      <w:pPr>
        <w:spacing w:before="100" w:after="120"/>
        <w:ind w:left="360" w:right="216"/>
        <w:shd w:fill="F4F6F9"/>
      </w:pPr>
      <w:r>
        <w:rPr>
          <w:rFonts w:ascii="DejaVu Sans Mono" w:hAnsi="DejaVu Sans Mono" w:eastAsia="Noto Sans CJK SC"/>
          <w:sz w:val="17"/>
        </w:rPr>
        <w:t>删除 → 回收站 → 恢复 / 永久删除</w:t>
        <w:br/>
        <w:t>恢复冲突 → 选择目标卷与名称 → 事务提交</w:t>
        <w:br/>
        <w:t>永久删除 → 显示影响范围 → 二次确认 → 删除</w:t>
      </w:r>
    </w:p>
    <w:p>
      <w:pPr>
        <w:pStyle w:val="Heading2"/>
      </w:pPr>
      <w:r>
        <w:rPr>
          <w:b w:val="0"/>
        </w:rPr>
        <w:t>18.3 自动滚动备份与恢复点</w:t>
      </w:r>
    </w:p>
    <w:p>
      <w:r>
        <w:rPr>
          <w:b w:val="0"/>
        </w:rPr>
        <w:t>由于项目不使用云存储，自动备份属于P0数据安全能力。备份必须使用SQLite Online Backup API生成一致副本，再连同manifest和附件清单写入临时包，校验成功后原子重命名。</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088"/>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触发点</w:t>
            </w:r>
          </w:p>
        </w:tc>
        <w:tc>
          <w:tcPr>
            <w:tcW w:type="dxa" w:w="4392"/>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默认策略</w:t>
            </w:r>
          </w:p>
        </w:tc>
        <w:tc>
          <w:tcPr>
            <w:tcW w:type="dxa" w:w="2808"/>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失败处理</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每日自动备份</w:t>
            </w:r>
          </w:p>
        </w:tc>
        <w:tc>
          <w:tcPr>
            <w:tcW w:type="dxa" w:w="43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当天首次安全关闭项目时创建；保留最近7份，可配置3-30份</w:t>
            </w:r>
          </w:p>
        </w:tc>
        <w:tc>
          <w:tcPr>
            <w:tcW w:type="dxa" w:w="280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提示但不阻止关闭；首页持续显示失败状态</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数据库迁移前</w:t>
            </w:r>
          </w:p>
        </w:tc>
        <w:tc>
          <w:tcPr>
            <w:tcW w:type="dxa" w:w="43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强制创建迁移前恢复点</w:t>
            </w:r>
          </w:p>
        </w:tc>
        <w:tc>
          <w:tcPr>
            <w:tcW w:type="dxa" w:w="280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失败则停止迁移和打开操作</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大批量导入前</w:t>
            </w:r>
          </w:p>
        </w:tc>
        <w:tc>
          <w:tcPr>
            <w:tcW w:type="dxa" w:w="43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强制创建恢复点</w:t>
            </w:r>
          </w:p>
        </w:tc>
        <w:tc>
          <w:tcPr>
            <w:tcW w:type="dxa" w:w="280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失败则禁止正式导入，但允许继续预览</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章节批量合并/永久删除前</w:t>
            </w:r>
          </w:p>
        </w:tc>
        <w:tc>
          <w:tcPr>
            <w:tcW w:type="dxa" w:w="43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强制创建恢复点</w:t>
            </w:r>
          </w:p>
        </w:tc>
        <w:tc>
          <w:tcPr>
            <w:tcW w:type="dxa" w:w="280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失败则取消破坏性操作</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手动备份</w:t>
            </w:r>
          </w:p>
        </w:tc>
        <w:tc>
          <w:tcPr>
            <w:tcW w:type="dxa" w:w="43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作者随时创建并可填写备注</w:t>
            </w:r>
          </w:p>
        </w:tc>
        <w:tc>
          <w:tcPr>
            <w:tcW w:type="dxa" w:w="280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失败展示具体路径、空间或权限原因</w:t>
            </w:r>
          </w:p>
        </w:tc>
      </w:tr>
    </w:tbl>
    <w:p>
      <w:pPr>
        <w:pStyle w:val="ListBullet"/>
      </w:pPr>
      <w:r>
        <w:rPr>
          <w:b w:val="0"/>
        </w:rPr>
        <w:t>备份记录显示时间、来源版本、大小、完整性和备注。</w:t>
      </w:r>
    </w:p>
    <w:p>
      <w:pPr>
        <w:pStyle w:val="ListBullet"/>
      </w:pPr>
      <w:r>
        <w:rPr>
          <w:b w:val="0"/>
        </w:rPr>
        <w:t>恢复始终解压为新的“恢复副本”，校验通过后由作者决定是否替换原项目。</w:t>
      </w:r>
    </w:p>
    <w:p>
      <w:pPr>
        <w:pStyle w:val="ListBullet"/>
      </w:pPr>
      <w:r>
        <w:rPr>
          <w:b w:val="0"/>
        </w:rPr>
        <w:t>自动备份不得包含API密钥；Provider只保存credentialRef。</w:t>
      </w:r>
    </w:p>
    <w:p>
      <w:pPr>
        <w:pStyle w:val="ListBullet"/>
      </w:pPr>
      <w:r>
        <w:rPr>
          <w:b w:val="0"/>
        </w:rPr>
        <w:t>磁盘空间不足时停止创建新备份，不删除最后一份成功备份。</w:t>
      </w:r>
    </w:p>
    <w:p>
      <w:pPr>
        <w:pStyle w:val="Heading2"/>
      </w:pPr>
      <w:r>
        <w:rPr>
          <w:b w:val="0"/>
        </w:rPr>
        <w:t>18.4 编辑器基础行为冻结</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088"/>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行为</w:t>
            </w:r>
          </w:p>
        </w:tc>
        <w:tc>
          <w:tcPr>
            <w:tcW w:type="dxa" w:w="7272"/>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v1规则</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支持格式</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普通段落、对话段落、标题、分隔符；行内仅保留粗体和斜体</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网页/Word粘贴</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默认清理字体、字号、颜色、链接样式和隐藏标记；保留段落结构、粗体、斜体</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纯文本粘贴</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按连续空行分段；Tab和多余段首空白按项目规则规范化</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输入法IME</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compositionstart至compositionend期间不提交Patch、不触发快捷键和AI划选操作</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自动保存</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编辑空闲800ms后提交一个Block Patch；保存失败保留本地编辑状态并持续提示</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撤销重做</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自动保存不清空本次会话撤销栈；应用重启后不承诺恢复内存撤销历史</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章节内查找</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Ctrl/Cmd+F搜索当前章；全项目搜索仍在检查与导出入口</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拖动文本</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块内拖动视为文本编辑；跨块移动由ProseMirror事务映射logicalBlockId</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长章节</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5万内容字符内保持流畅；超过10万字符提示拆章，但不自动拆分</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锁定内容</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前端阻止编辑，Core再次校验；粘贴、替换和撤销均不得绕过锁定</w:t>
            </w:r>
          </w:p>
        </w:tc>
      </w:tr>
    </w:tbl>
    <w:p>
      <w:r>
        <w:rPr>
          <w:b w:val="0"/>
        </w:rPr>
        <w:t>撤销与数据库Revision是两套职责：撤销处理作者当前会话的编辑意图，Revision负责阻止陈旧Candidate或并发操作覆盖新内容。两者不得互相替代。</w:t>
      </w:r>
    </w:p>
    <w:p>
      <w:pPr>
        <w:pStyle w:val="Heading2"/>
      </w:pPr>
      <w:r>
        <w:rPr>
          <w:b w:val="0"/>
        </w:rPr>
        <w:t>18.5 字数统计、目标与显示</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72"/>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指标</w:t>
            </w:r>
          </w:p>
        </w:tc>
        <w:tc>
          <w:tcPr>
            <w:tcW w:type="dxa" w:w="4824"/>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统计口径</w:t>
            </w:r>
          </w:p>
        </w:tc>
        <w:tc>
          <w:tcPr>
            <w:tcW w:type="dxa" w:w="2664"/>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默认展示位置</w:t>
            </w:r>
          </w:p>
        </w:tc>
      </w:tr>
      <w:tr>
        <w:tc>
          <w:tcPr>
            <w:tcW w:type="dxa" w:w="18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内容字符数</w:t>
            </w:r>
          </w:p>
        </w:tc>
        <w:tc>
          <w:tcPr>
            <w:tcW w:type="dxa" w:w="482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正文中所有非空白字符，包含中文、拉丁字母、数字和标点</w:t>
            </w:r>
          </w:p>
        </w:tc>
        <w:tc>
          <w:tcPr>
            <w:tcW w:type="dxa" w:w="266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写作工作台底栏的主数字</w:t>
            </w:r>
          </w:p>
        </w:tc>
      </w:tr>
      <w:tr>
        <w:tc>
          <w:tcPr>
            <w:tcW w:type="dxa" w:w="18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纯文字字数</w:t>
            </w:r>
          </w:p>
        </w:tc>
        <w:tc>
          <w:tcPr>
            <w:tcW w:type="dxa" w:w="482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中文汉字、拉丁字母和数字，不含标点、空格、换行</w:t>
            </w:r>
          </w:p>
        </w:tc>
        <w:tc>
          <w:tcPr>
            <w:tcW w:type="dxa" w:w="266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点击字数详情后显示</w:t>
            </w:r>
          </w:p>
        </w:tc>
      </w:tr>
      <w:tr>
        <w:tc>
          <w:tcPr>
            <w:tcW w:type="dxa" w:w="18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选中字数</w:t>
            </w:r>
          </w:p>
        </w:tc>
        <w:tc>
          <w:tcPr>
            <w:tcW w:type="dxa" w:w="482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按上述两种口径统计当前选区</w:t>
            </w:r>
          </w:p>
        </w:tc>
        <w:tc>
          <w:tcPr>
            <w:tcW w:type="dxa" w:w="266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编辑器浮动工具栏</w:t>
            </w:r>
          </w:p>
        </w:tc>
      </w:tr>
      <w:tr>
        <w:tc>
          <w:tcPr>
            <w:tcW w:type="dxa" w:w="18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章节目标</w:t>
            </w:r>
          </w:p>
        </w:tc>
        <w:tc>
          <w:tcPr>
            <w:tcW w:type="dxa" w:w="482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作者可选设置目标值；只显示完成比例，不限制保存和定稿</w:t>
            </w:r>
          </w:p>
        </w:tc>
        <w:tc>
          <w:tcPr>
            <w:tcW w:type="dxa" w:w="266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底栏与章节信息卡</w:t>
            </w:r>
          </w:p>
        </w:tc>
      </w:tr>
      <w:tr>
        <w:tc>
          <w:tcPr>
            <w:tcW w:type="dxa" w:w="18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全书字数</w:t>
            </w:r>
          </w:p>
        </w:tc>
        <w:tc>
          <w:tcPr>
            <w:tcW w:type="dxa" w:w="482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默认统计所有非回收站章节的活动Draft</w:t>
            </w:r>
          </w:p>
        </w:tc>
        <w:tc>
          <w:tcPr>
            <w:tcW w:type="dxa" w:w="266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首页和项目概览</w:t>
            </w:r>
          </w:p>
        </w:tc>
      </w:tr>
      <w:tr>
        <w:tc>
          <w:tcPr>
            <w:tcW w:type="dxa" w:w="18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导出字数</w:t>
            </w:r>
          </w:p>
        </w:tc>
        <w:tc>
          <w:tcPr>
            <w:tcW w:type="dxa" w:w="482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统计本次导出的指定Version，不读取活动Draft</w:t>
            </w:r>
          </w:p>
        </w:tc>
        <w:tc>
          <w:tcPr>
            <w:tcW w:type="dxa" w:w="266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导出确认页</w:t>
            </w:r>
          </w:p>
        </w:tc>
      </w:tr>
      <w:tr>
        <w:tc>
          <w:tcPr>
            <w:tcW w:type="dxa" w:w="18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今日新增</w:t>
            </w:r>
          </w:p>
        </w:tc>
        <w:tc>
          <w:tcPr>
            <w:tcW w:type="dxa" w:w="482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按本机自然日计算净新增内容字符；删除内容抵扣</w:t>
            </w:r>
          </w:p>
        </w:tc>
        <w:tc>
          <w:tcPr>
            <w:tcW w:type="dxa" w:w="266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首页，可关闭</w:t>
            </w:r>
          </w:p>
        </w:tc>
      </w:tr>
    </w:tbl>
    <w:p>
      <w:r>
        <w:rPr>
          <w:b w:val="0"/>
        </w:rPr>
        <w:t>标题、批注、待办、作者备注和被删除章节默认不计入正文。统计结果属于写作辅助，不宣称与任何发布平台后台完全一致。</w:t>
      </w:r>
    </w:p>
    <w:p>
      <w:pPr>
        <w:pStyle w:val="Heading2"/>
      </w:pPr>
      <w:r>
        <w:rPr>
          <w:b w:val="0"/>
        </w:rPr>
        <w:t>18.6 统一设置中心</w:t>
      </w:r>
    </w:p>
    <w:p>
      <w:r>
        <w:rPr>
          <w:b w:val="0"/>
        </w:rPr>
        <w:t>设置分为应用级默认值和项目级覆盖值。项目级字段未设置时继承应用默认；界面必须显示当前值来自“应用默认”还是“本项目”。密钥不进入设置数据库，只保存系统凭据引用。</w:t>
      </w:r>
    </w:p>
    <w:p>
      <w:pPr>
        <w:jc w:val="center"/>
      </w:pPr>
      <w:r>
        <w:drawing>
          <wp:inline xmlns:a="http://schemas.openxmlformats.org/drawingml/2006/main" xmlns:pic="http://schemas.openxmlformats.org/drawingml/2006/picture">
            <wp:extent cx="5943600" cy="3491865"/>
            <wp:docPr id="15" name="Picture 15" descr="设置中心左侧分类导航与右侧编辑器设置卡片。" title="图18-2 统一设置中心"/>
            <wp:cNvGraphicFramePr>
              <a:graphicFrameLocks noChangeAspect="1"/>
            </wp:cNvGraphicFramePr>
            <a:graphic>
              <a:graphicData uri="http://schemas.openxmlformats.org/drawingml/2006/picture">
                <pic:pic>
                  <pic:nvPicPr>
                    <pic:cNvPr id="0" name="settings_center.png"/>
                    <pic:cNvPicPr/>
                  </pic:nvPicPr>
                  <pic:blipFill>
                    <a:blip r:embed="rId24"/>
                    <a:stretch>
                      <a:fillRect/>
                    </a:stretch>
                  </pic:blipFill>
                  <pic:spPr>
                    <a:xfrm>
                      <a:off x="0" y="0"/>
                      <a:ext cx="5943600" cy="3491865"/>
                    </a:xfrm>
                    <a:prstGeom prst="rect"/>
                  </pic:spPr>
                </pic:pic>
              </a:graphicData>
            </a:graphic>
          </wp:inline>
        </w:drawing>
      </w:r>
    </w:p>
    <w:p>
      <w:pPr>
        <w:jc w:val="center"/>
      </w:pPr>
      <w:r>
        <w:rPr>
          <w:i/>
          <w:color w:val="687386"/>
          <w:sz w:val="18"/>
        </w:rPr>
        <w:t>图18-2 统一设置中心</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1944"/>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分类</w:t>
            </w:r>
          </w:p>
        </w:tc>
        <w:tc>
          <w:tcPr>
            <w:tcW w:type="dxa" w:w="7416"/>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主要设置</w:t>
            </w:r>
          </w:p>
        </w:tc>
      </w:tr>
      <w:tr>
        <w:tc>
          <w:tcPr>
            <w:tcW w:type="dxa" w:w="194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通用</w:t>
            </w:r>
          </w:p>
        </w:tc>
        <w:tc>
          <w:tcPr>
            <w:tcW w:type="dxa" w:w="741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默认项目位置、启动行为、语言、主题、新手/专业默认模式</w:t>
            </w:r>
          </w:p>
        </w:tc>
      </w:tr>
      <w:tr>
        <w:tc>
          <w:tcPr>
            <w:tcW w:type="dxa" w:w="194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编辑器</w:t>
            </w:r>
          </w:p>
        </w:tc>
        <w:tc>
          <w:tcPr>
            <w:tcW w:type="dxa" w:w="741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字体、字号、行距、段间距、正文宽度、粘贴清理、自动保存反馈</w:t>
            </w:r>
          </w:p>
        </w:tc>
      </w:tr>
      <w:tr>
        <w:tc>
          <w:tcPr>
            <w:tcW w:type="dxa" w:w="194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AI连接</w:t>
            </w:r>
          </w:p>
        </w:tc>
        <w:tc>
          <w:tcPr>
            <w:tcW w:type="dxa" w:w="741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端点、协议、模型、credentialRef、超时、连接测试、默认任务模型</w:t>
            </w:r>
          </w:p>
        </w:tc>
      </w:tr>
      <w:tr>
        <w:tc>
          <w:tcPr>
            <w:tcW w:type="dxa" w:w="194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备份与恢复</w:t>
            </w:r>
          </w:p>
        </w:tc>
        <w:tc>
          <w:tcPr>
            <w:tcW w:type="dxa" w:w="741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自动备份开关、保留数量、备份位置、最后成功时间、立即备份</w:t>
            </w:r>
          </w:p>
        </w:tc>
      </w:tr>
      <w:tr>
        <w:tc>
          <w:tcPr>
            <w:tcW w:type="dxa" w:w="1944"/>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检查与词典</w:t>
            </w:r>
          </w:p>
        </w:tc>
        <w:tc>
          <w:tcPr>
            <w:tcW w:type="dxa" w:w="741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默认风险级别、静音规则、项目专名词典、基础标点规则</w:t>
            </w:r>
          </w:p>
        </w:tc>
      </w:tr>
      <w:tr>
        <w:tc>
          <w:tcPr>
            <w:tcW w:type="dxa" w:w="1944"/>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高级</w:t>
            </w:r>
          </w:p>
        </w:tc>
        <w:tc>
          <w:tcPr>
            <w:tcW w:type="dxa" w:w="741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日志级别、诊断包、数据库完整性检查、恢复默认值</w:t>
            </w:r>
          </w:p>
        </w:tc>
      </w:tr>
    </w:tbl>
    <w:p>
      <w:pPr>
        <w:pStyle w:val="ListBullet"/>
      </w:pPr>
      <w:r>
        <w:rPr>
          <w:b w:val="0"/>
        </w:rPr>
        <w:t>设置修改后立即本地保存；影响正文展示的选项即时预览。</w:t>
      </w:r>
    </w:p>
    <w:p>
      <w:pPr>
        <w:pStyle w:val="ListBullet"/>
      </w:pPr>
      <w:r>
        <w:rPr>
          <w:b w:val="0"/>
        </w:rPr>
        <w:t>恢复默认值只清除覆盖项，不删除项目内容、Provider凭据或词典。</w:t>
      </w:r>
    </w:p>
    <w:p>
      <w:pPr>
        <w:pStyle w:val="ListBullet"/>
      </w:pPr>
      <w:r>
        <w:rPr>
          <w:b w:val="0"/>
        </w:rPr>
        <w:t>设置验证失败时保持旧值，不能写入部分无效配置。</w:t>
      </w:r>
    </w:p>
    <w:p>
      <w:pPr>
        <w:pStyle w:val="Heading2"/>
      </w:pPr>
      <w:r>
        <w:rPr>
          <w:b w:val="0"/>
        </w:rPr>
        <w:t>18.7 导入、导出与异常处理</w:t>
      </w:r>
    </w:p>
    <w:p>
      <w:pPr>
        <w:jc w:val="center"/>
      </w:pPr>
      <w:r>
        <w:drawing>
          <wp:inline xmlns:a="http://schemas.openxmlformats.org/drawingml/2006/main" xmlns:pic="http://schemas.openxmlformats.org/drawingml/2006/picture">
            <wp:extent cx="5943600" cy="3491865"/>
            <wp:docPr id="16" name="Picture 16" descr="左侧章节边界列表，右侧内容预览和修正操作。" title="图18-3 已有作品导入预览与边界修正"/>
            <wp:cNvGraphicFramePr>
              <a:graphicFrameLocks noChangeAspect="1"/>
            </wp:cNvGraphicFramePr>
            <a:graphic>
              <a:graphicData uri="http://schemas.openxmlformats.org/drawingml/2006/picture">
                <pic:pic>
                  <pic:nvPicPr>
                    <pic:cNvPr id="0" name="import_preview.png"/>
                    <pic:cNvPicPr/>
                  </pic:nvPicPr>
                  <pic:blipFill>
                    <a:blip r:embed="rId25"/>
                    <a:stretch>
                      <a:fillRect/>
                    </a:stretch>
                  </pic:blipFill>
                  <pic:spPr>
                    <a:xfrm>
                      <a:off x="0" y="0"/>
                      <a:ext cx="5943600" cy="3491865"/>
                    </a:xfrm>
                    <a:prstGeom prst="rect"/>
                  </pic:spPr>
                </pic:pic>
              </a:graphicData>
            </a:graphic>
          </wp:inline>
        </w:drawing>
      </w:r>
    </w:p>
    <w:p>
      <w:pPr>
        <w:jc w:val="center"/>
      </w:pPr>
      <w:r>
        <w:rPr>
          <w:i/>
          <w:color w:val="687386"/>
          <w:sz w:val="18"/>
        </w:rPr>
        <w:t>图18-3 已有作品导入预览与边界修正</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088"/>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场景</w:t>
            </w:r>
          </w:p>
        </w:tc>
        <w:tc>
          <w:tcPr>
            <w:tcW w:type="dxa" w:w="7272"/>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规则</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TXT编码</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优先检测UTF-8/UTF-8 BOM/GB18030；低置信度时必须让作者切换编码并预览</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Markdown</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识别标题层级和正文；代码块、表格和链接降级为普通文本或研究附件</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DOCX</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读取标题、段落、粗体、斜体和分页符；不承诺还原页眉、脚注、修订、浮动图片和复杂表格</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章节边界</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所有自动分章结果先进入预览，可合并、拆分、重命名、排除和拖拽排序</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重复标题</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允许导入，但界面标记并提供批量编号建议</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空章节</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默认标记警告，由作者选择保留、并入或排除</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取消导入</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预览阶段不写项目库；提交阶段失败或取消必须完整回滚</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超大文件</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显示解析进度，可取消；解析在Core进程执行，不能阻塞Renderer</w:t>
            </w:r>
          </w:p>
        </w:tc>
      </w:tr>
      <w:tr>
        <w:tc>
          <w:tcPr>
            <w:tcW w:type="dxa" w:w="208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导出</w:t>
            </w:r>
          </w:p>
        </w:tc>
        <w:tc>
          <w:tcPr>
            <w:tcW w:type="dxa" w:w="727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先写临时文件并校验，成功后原子替换目标；目标被占用时保留临时文件并提示另存</w:t>
            </w:r>
          </w:p>
        </w:tc>
      </w:tr>
      <w:tr>
        <w:tc>
          <w:tcPr>
            <w:tcW w:type="dxa" w:w="208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DOCX导出</w:t>
            </w:r>
          </w:p>
        </w:tc>
        <w:tc>
          <w:tcPr>
            <w:tcW w:type="dxa" w:w="727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使用固定小说模板控制标题、分页、段落缩进和作者备注，不复制编辑器HTML样式</w:t>
            </w:r>
          </w:p>
        </w:tc>
      </w:tr>
    </w:tbl>
    <w:p>
      <w:pPr>
        <w:pStyle w:val="Heading2"/>
        <w:keepNext/>
        <w:pageBreakBefore/>
      </w:pPr>
      <w:r>
        <w:rPr>
          <w:b w:val="0"/>
        </w:rPr>
        <w:t>18.8 关键交互流程</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00"/>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流程</w:t>
            </w:r>
          </w:p>
        </w:tc>
        <w:tc>
          <w:tcPr>
            <w:tcW w:type="dxa" w:w="5112"/>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操作路径</w:t>
            </w:r>
          </w:p>
        </w:tc>
        <w:tc>
          <w:tcPr>
            <w:tcW w:type="dxa" w:w="2520"/>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完成反馈</w:t>
            </w:r>
          </w:p>
        </w:tc>
      </w:tr>
      <w:tr>
        <w:tc>
          <w:tcPr>
            <w:tcW w:type="dxa" w:w="180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误删恢复</w:t>
            </w:r>
          </w:p>
        </w:tc>
        <w:tc>
          <w:tcPr>
            <w:tcW w:type="dxa" w:w="511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作品树右键删除 → 回收站 → 选择条目恢复</w:t>
            </w:r>
          </w:p>
        </w:tc>
        <w:tc>
          <w:tcPr>
            <w:tcW w:type="dxa" w:w="25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恢复到原位置；冲突时弹出位置/名称选择</w:t>
            </w:r>
          </w:p>
        </w:tc>
      </w:tr>
      <w:tr>
        <w:tc>
          <w:tcPr>
            <w:tcW w:type="dxa" w:w="180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自动备份失败</w:t>
            </w:r>
          </w:p>
        </w:tc>
        <w:tc>
          <w:tcPr>
            <w:tcW w:type="dxa" w:w="511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后台备份失败 → 顶部状态点变黄 → 点击查看原因</w:t>
            </w:r>
          </w:p>
        </w:tc>
        <w:tc>
          <w:tcPr>
            <w:tcW w:type="dxa" w:w="25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正文继续可写；破坏性操作前的强制备份失败则阻止操作</w:t>
            </w:r>
          </w:p>
        </w:tc>
      </w:tr>
      <w:tr>
        <w:tc>
          <w:tcPr>
            <w:tcW w:type="dxa" w:w="180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从Word粘贴</w:t>
            </w:r>
          </w:p>
        </w:tc>
        <w:tc>
          <w:tcPr>
            <w:tcW w:type="dxa" w:w="511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粘贴 → 自动清理 → 右下角短提示“已移除外部样式”</w:t>
            </w:r>
          </w:p>
        </w:tc>
        <w:tc>
          <w:tcPr>
            <w:tcW w:type="dxa" w:w="25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可立即撤销或选择“保留纯文本”重新粘贴</w:t>
            </w:r>
          </w:p>
        </w:tc>
      </w:tr>
      <w:tr>
        <w:tc>
          <w:tcPr>
            <w:tcW w:type="dxa" w:w="180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字数目标</w:t>
            </w:r>
          </w:p>
        </w:tc>
        <w:tc>
          <w:tcPr>
            <w:tcW w:type="dxa" w:w="511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章节信息设置目标 → 底栏显示当前/目标和比例</w:t>
            </w:r>
          </w:p>
        </w:tc>
        <w:tc>
          <w:tcPr>
            <w:tcW w:type="dxa" w:w="25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无警告、无强制完成门槛</w:t>
            </w:r>
          </w:p>
        </w:tc>
      </w:tr>
      <w:tr>
        <w:tc>
          <w:tcPr>
            <w:tcW w:type="dxa" w:w="180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导入长篇</w:t>
            </w:r>
          </w:p>
        </w:tc>
        <w:tc>
          <w:tcPr>
            <w:tcW w:type="dxa" w:w="511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选择文件 → 编码与分章预览 → 修正边界 → 确认导入</w:t>
            </w:r>
          </w:p>
        </w:tc>
        <w:tc>
          <w:tcPr>
            <w:tcW w:type="dxa" w:w="25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单事务创建章节；完成后显示导入摘要</w:t>
            </w:r>
          </w:p>
        </w:tc>
      </w:tr>
      <w:tr>
        <w:tc>
          <w:tcPr>
            <w:tcW w:type="dxa" w:w="180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恢复备份</w:t>
            </w:r>
          </w:p>
        </w:tc>
        <w:tc>
          <w:tcPr>
            <w:tcW w:type="dxa" w:w="511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设置/检查与导出 → 恢复与安全 → 选择备份 → 校验并恢复副本</w:t>
            </w:r>
          </w:p>
        </w:tc>
        <w:tc>
          <w:tcPr>
            <w:tcW w:type="dxa" w:w="25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打开恢复副本，不静默覆盖当前项目</w:t>
            </w:r>
          </w:p>
        </w:tc>
      </w:tr>
    </w:tbl>
    <w:p>
      <w:pPr>
        <w:pStyle w:val="Heading2"/>
        <w:keepNext/>
      </w:pPr>
      <w:r>
        <w:rPr>
          <w:b w:val="0"/>
        </w:rPr>
        <w:t>18.9 数据模型与IPC增量</w:t>
      </w:r>
    </w:p>
    <w:p>
      <w:pPr>
        <w:spacing w:before="100" w:after="120"/>
        <w:ind w:left="360" w:right="216"/>
        <w:shd w:fill="F4F6F9"/>
      </w:pPr>
      <w:r>
        <w:rPr>
          <w:rFonts w:ascii="DejaVu Sans Mono" w:hAnsi="DejaVu Sans Mono" w:eastAsia="Noto Sans CJK SC"/>
          <w:sz w:val="17"/>
        </w:rPr>
        <w:t>chapters / volumes / scene_beats</w:t>
        <w:br/>
        <w:t xml:space="preserve">  deleted_at TEXT NULL</w:t>
        <w:br/>
        <w:t xml:space="preserve">  deleted_from_parent_id TEXT NULL</w:t>
        <w:br/>
        <w:t xml:space="preserve">  deleted_order_key TEXT NULL</w:t>
        <w:br/>
        <w:br/>
        <w:t>backup_records</w:t>
        <w:br/>
        <w:t xml:space="preserve">  id, project_id, backup_type, file_path, file_size, sha256</w:t>
        <w:br/>
        <w:t xml:space="preserve">  source_schema_version, status, note, created_at</w:t>
        <w:br/>
        <w:br/>
        <w:t>settings</w:t>
        <w:br/>
        <w:t xml:space="preserve">  scope(app|project), scope_id, key, value_json, updated_at</w:t>
        <w:br/>
        <w:t xml:space="preserve">  UNIQUE(scope, scope_id, key)</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3168"/>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IPC命令</w:t>
            </w:r>
          </w:p>
        </w:tc>
        <w:tc>
          <w:tcPr>
            <w:tcW w:type="dxa" w:w="6192"/>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用途</w:t>
            </w:r>
          </w:p>
        </w:tc>
      </w:tr>
      <w:tr>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chapter.trash / volume.trash</w:t>
            </w:r>
          </w:p>
        </w:tc>
        <w:tc>
          <w:tcPr>
            <w:tcW w:type="dxa" w:w="61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移入项目回收站</w:t>
            </w:r>
          </w:p>
        </w:tc>
      </w:tr>
      <w:tr>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trash.list / trash.restore / trash.purge</w:t>
            </w:r>
          </w:p>
        </w:tc>
        <w:tc>
          <w:tcPr>
            <w:tcW w:type="dxa" w:w="61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列出、恢复和永久删除</w:t>
            </w:r>
          </w:p>
        </w:tc>
      </w:tr>
      <w:tr>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backup.create / backup.list / backup.restore</w:t>
            </w:r>
          </w:p>
        </w:tc>
        <w:tc>
          <w:tcPr>
            <w:tcW w:type="dxa" w:w="61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创建、查看和恢复一致性备份</w:t>
            </w:r>
          </w:p>
        </w:tc>
      </w:tr>
      <w:tr>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settings.get / settings.update / settings.reset</w:t>
            </w:r>
          </w:p>
        </w:tc>
        <w:tc>
          <w:tcPr>
            <w:tcW w:type="dxa" w:w="61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读取、校验更新和清除覆盖值</w:t>
            </w:r>
          </w:p>
        </w:tc>
      </w:tr>
      <w:tr>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import.detectEncoding / import.preview / import.commit</w:t>
            </w:r>
          </w:p>
        </w:tc>
        <w:tc>
          <w:tcPr>
            <w:tcW w:type="dxa" w:w="61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编码检测、可编辑预览和事务导入</w:t>
            </w:r>
          </w:p>
        </w:tc>
      </w:tr>
      <w:tr>
        <w:tc>
          <w:tcPr>
            <w:tcW w:type="dxa" w:w="3168"/>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export.create</w:t>
            </w:r>
          </w:p>
        </w:tc>
        <w:tc>
          <w:tcPr>
            <w:tcW w:type="dxa" w:w="619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临时写入、校验并原子输出</w:t>
            </w:r>
          </w:p>
        </w:tc>
      </w:tr>
      <w:tr>
        <w:tc>
          <w:tcPr>
            <w:tcW w:type="dxa" w:w="3168"/>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stats.getWordCount</w:t>
            </w:r>
          </w:p>
        </w:tc>
        <w:tc>
          <w:tcPr>
            <w:tcW w:type="dxa" w:w="619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返回章节、选区、全书和导出统计</w:t>
            </w:r>
          </w:p>
        </w:tc>
      </w:tr>
    </w:tbl>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3240"/>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错误码</w:t>
            </w:r>
          </w:p>
        </w:tc>
        <w:tc>
          <w:tcPr>
            <w:tcW w:type="dxa" w:w="6120"/>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含义</w:t>
            </w:r>
          </w:p>
        </w:tc>
      </w:tr>
      <w:tr>
        <w:tc>
          <w:tcPr>
            <w:tcW w:type="dxa" w:w="324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TRASH_RESTORE_CONFLICT</w:t>
            </w:r>
          </w:p>
        </w:tc>
        <w:tc>
          <w:tcPr>
            <w:tcW w:type="dxa" w:w="61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原父节点、顺序或名称已冲突，需要作者选择</w:t>
            </w:r>
          </w:p>
        </w:tc>
      </w:tr>
      <w:tr>
        <w:tc>
          <w:tcPr>
            <w:tcW w:type="dxa" w:w="324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PERMANENT_DELETE_CONFIRM_REQUIRED</w:t>
            </w:r>
          </w:p>
        </w:tc>
        <w:tc>
          <w:tcPr>
            <w:tcW w:type="dxa" w:w="61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永久删除缺少明确二次确认</w:t>
            </w:r>
          </w:p>
        </w:tc>
      </w:tr>
      <w:tr>
        <w:tc>
          <w:tcPr>
            <w:tcW w:type="dxa" w:w="324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BACKUP_SPACE_INSUFFICIENT</w:t>
            </w:r>
          </w:p>
        </w:tc>
        <w:tc>
          <w:tcPr>
            <w:tcW w:type="dxa" w:w="61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可用空间不足以创建一致性备份</w:t>
            </w:r>
          </w:p>
        </w:tc>
      </w:tr>
      <w:tr>
        <w:tc>
          <w:tcPr>
            <w:tcW w:type="dxa" w:w="324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REQUIRED_RESTORE_POINT_FAILED</w:t>
            </w:r>
          </w:p>
        </w:tc>
        <w:tc>
          <w:tcPr>
            <w:tcW w:type="dxa" w:w="61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破坏性操作前恢复点失败，操作已取消</w:t>
            </w:r>
          </w:p>
        </w:tc>
      </w:tr>
      <w:tr>
        <w:tc>
          <w:tcPr>
            <w:tcW w:type="dxa" w:w="324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IMPORT_ENCODING_UNCERTAIN</w:t>
            </w:r>
          </w:p>
        </w:tc>
        <w:tc>
          <w:tcPr>
            <w:tcW w:type="dxa" w:w="61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文本编码置信度不足，必须人工确认</w:t>
            </w:r>
          </w:p>
        </w:tc>
      </w:tr>
      <w:tr>
        <w:tc>
          <w:tcPr>
            <w:tcW w:type="dxa" w:w="324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IMPORT_CANCELLED</w:t>
            </w:r>
          </w:p>
        </w:tc>
        <w:tc>
          <w:tcPr>
            <w:tcW w:type="dxa" w:w="61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导入已取消且事务回滚完成</w:t>
            </w:r>
          </w:p>
        </w:tc>
      </w:tr>
      <w:tr>
        <w:tc>
          <w:tcPr>
            <w:tcW w:type="dxa" w:w="324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EXPORT_TARGET_IN_USE</w:t>
            </w:r>
          </w:p>
        </w:tc>
        <w:tc>
          <w:tcPr>
            <w:tcW w:type="dxa" w:w="61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目标文件被其他程序占用</w:t>
            </w:r>
          </w:p>
        </w:tc>
      </w:tr>
      <w:tr>
        <w:tc>
          <w:tcPr>
            <w:tcW w:type="dxa" w:w="324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SETTINGS_VALIDATION_FAILED</w:t>
            </w:r>
          </w:p>
        </w:tc>
        <w:tc>
          <w:tcPr>
            <w:tcW w:type="dxa" w:w="612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设置值未通过Schema或范围校验</w:t>
            </w:r>
          </w:p>
        </w:tc>
      </w:tr>
      <w:tr>
        <w:tc>
          <w:tcPr>
            <w:tcW w:type="dxa" w:w="324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EDITOR_PATCH_REJECTED</w:t>
            </w:r>
          </w:p>
        </w:tc>
        <w:tc>
          <w:tcPr>
            <w:tcW w:type="dxa" w:w="612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粘贴、替换或撤销产生的Patch违反锁定或Revision</w:t>
            </w:r>
          </w:p>
        </w:tc>
      </w:tr>
    </w:tbl>
    <w:p>
      <w:pPr>
        <w:pStyle w:val="Heading2"/>
        <w:keepNext/>
      </w:pPr>
      <w:r>
        <w:rPr>
          <w:b w:val="0"/>
        </w:rPr>
        <w:t>18.10 P0验收用例</w:t>
      </w:r>
    </w:p>
    <w:tbl>
      <w:tblPr>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080"/>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编号</w:t>
            </w:r>
          </w:p>
        </w:tc>
        <w:tc>
          <w:tcPr>
            <w:tcW w:type="dxa" w:w="3096"/>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验收场景</w:t>
            </w:r>
          </w:p>
        </w:tc>
        <w:tc>
          <w:tcPr>
            <w:tcW w:type="dxa" w:w="5112"/>
            <w:vAlign w:val="center"/>
            <w:tcBorders>
              <w:top w:val="single" w:sz="4" w:color="D9DEE7"/>
              <w:left w:val="single" w:sz="4" w:color="D9DEE7"/>
              <w:bottom w:val="single" w:sz="4" w:color="D9DEE7"/>
              <w:right w:val="single" w:sz="4" w:color="D9DEE7"/>
            </w:tcBorders>
            <w:shd w:fill="EAF0FF"/>
          </w:tcPr>
          <w:p>
            <w:pPr>
              <w:spacing w:before="40" w:after="40"/>
            </w:pPr>
            <w:r>
              <w:rPr>
                <w:rFonts w:ascii="Noto Sans CJK SC" w:hAnsi="Noto Sans CJK SC" w:eastAsia="Noto Sans CJK SC"/>
                <w:b/>
                <w:color w:val="264997"/>
                <w:sz w:val="18"/>
              </w:rPr>
              <w:t>通过标准</w:t>
            </w:r>
          </w:p>
        </w:tc>
      </w:tr>
      <w:tr>
        <w:tc>
          <w:tcPr>
            <w:tcW w:type="dxa" w:w="108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P0-13</w:t>
            </w:r>
          </w:p>
        </w:tc>
        <w:tc>
          <w:tcPr>
            <w:tcW w:type="dxa" w:w="309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删除章节后恢复</w:t>
            </w:r>
          </w:p>
        </w:tc>
        <w:tc>
          <w:tcPr>
            <w:tcW w:type="dxa" w:w="511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正文、Draft、Version、批注和原顺序完整恢复；重名冲突不覆盖现有章节</w:t>
            </w:r>
          </w:p>
        </w:tc>
      </w:tr>
      <w:tr>
        <w:tc>
          <w:tcPr>
            <w:tcW w:type="dxa" w:w="108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P0-14</w:t>
            </w:r>
          </w:p>
        </w:tc>
        <w:tc>
          <w:tcPr>
            <w:tcW w:type="dxa" w:w="309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自动备份与迁移前恢复点</w:t>
            </w:r>
          </w:p>
        </w:tc>
        <w:tc>
          <w:tcPr>
            <w:tcW w:type="dxa" w:w="511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正常生成可校验备份；强制恢复点失败时迁移不执行</w:t>
            </w:r>
          </w:p>
        </w:tc>
      </w:tr>
      <w:tr>
        <w:tc>
          <w:tcPr>
            <w:tcW w:type="dxa" w:w="108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P0-15</w:t>
            </w:r>
          </w:p>
        </w:tc>
        <w:tc>
          <w:tcPr>
            <w:tcW w:type="dxa" w:w="309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Word和网页粘贴</w:t>
            </w:r>
          </w:p>
        </w:tc>
        <w:tc>
          <w:tcPr>
            <w:tcW w:type="dxa" w:w="511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外部字体颜色被清理，段落/粗斜体保留，锁定块不被改变</w:t>
            </w:r>
          </w:p>
        </w:tc>
      </w:tr>
      <w:tr>
        <w:tc>
          <w:tcPr>
            <w:tcW w:type="dxa" w:w="108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P0-16</w:t>
            </w:r>
          </w:p>
        </w:tc>
        <w:tc>
          <w:tcPr>
            <w:tcW w:type="dxa" w:w="309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中文输入法与自动保存</w:t>
            </w:r>
          </w:p>
        </w:tc>
        <w:tc>
          <w:tcPr>
            <w:tcW w:type="dxa" w:w="511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拼音组合过程中不产生半成品Patch，不误触快捷键，完成后一次保存</w:t>
            </w:r>
          </w:p>
        </w:tc>
      </w:tr>
      <w:tr>
        <w:tc>
          <w:tcPr>
            <w:tcW w:type="dxa" w:w="108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P0-17</w:t>
            </w:r>
          </w:p>
        </w:tc>
        <w:tc>
          <w:tcPr>
            <w:tcW w:type="dxa" w:w="309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撤销重做与Revision</w:t>
            </w:r>
          </w:p>
        </w:tc>
        <w:tc>
          <w:tcPr>
            <w:tcW w:type="dxa" w:w="511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自动保存不清空撤销栈；陈旧候选仍触发Revision冲突</w:t>
            </w:r>
          </w:p>
        </w:tc>
      </w:tr>
      <w:tr>
        <w:tc>
          <w:tcPr>
            <w:tcW w:type="dxa" w:w="108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P0-18</w:t>
            </w:r>
          </w:p>
        </w:tc>
        <w:tc>
          <w:tcPr>
            <w:tcW w:type="dxa" w:w="309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字数统计一致性</w:t>
            </w:r>
          </w:p>
        </w:tc>
        <w:tc>
          <w:tcPr>
            <w:tcW w:type="dxa" w:w="511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编辑器、首页、导出确认页按各自定义统计，测试夹具结果固定</w:t>
            </w:r>
          </w:p>
        </w:tc>
      </w:tr>
      <w:tr>
        <w:tc>
          <w:tcPr>
            <w:tcW w:type="dxa" w:w="108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P0-19</w:t>
            </w:r>
          </w:p>
        </w:tc>
        <w:tc>
          <w:tcPr>
            <w:tcW w:type="dxa" w:w="309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设置继承与持久化</w:t>
            </w:r>
          </w:p>
        </w:tc>
        <w:tc>
          <w:tcPr>
            <w:tcW w:type="dxa" w:w="511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应用默认生效；项目覆盖优先；无效值不覆盖旧配置</w:t>
            </w:r>
          </w:p>
        </w:tc>
      </w:tr>
      <w:tr>
        <w:tc>
          <w:tcPr>
            <w:tcW w:type="dxa" w:w="108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P0-20</w:t>
            </w:r>
          </w:p>
        </w:tc>
        <w:tc>
          <w:tcPr>
            <w:tcW w:type="dxa" w:w="309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导入取消和异常</w:t>
            </w:r>
          </w:p>
        </w:tc>
        <w:tc>
          <w:tcPr>
            <w:tcW w:type="dxa" w:w="511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预览不写库；提交取消或解析失败后项目无残留章节</w:t>
            </w:r>
          </w:p>
        </w:tc>
      </w:tr>
      <w:tr>
        <w:tc>
          <w:tcPr>
            <w:tcW w:type="dxa" w:w="1080"/>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P0-21</w:t>
            </w:r>
          </w:p>
        </w:tc>
        <w:tc>
          <w:tcPr>
            <w:tcW w:type="dxa" w:w="3096"/>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原子导出</w:t>
            </w:r>
          </w:p>
        </w:tc>
        <w:tc>
          <w:tcPr>
            <w:tcW w:type="dxa" w:w="5112"/>
            <w:vAlign w:val="center"/>
            <w:tcBorders>
              <w:top w:val="single" w:sz="4" w:color="D9DEE7"/>
              <w:left w:val="single" w:sz="4" w:color="D9DEE7"/>
              <w:bottom w:val="single" w:sz="4" w:color="D9DEE7"/>
              <w:right w:val="single" w:sz="4" w:color="D9DEE7"/>
            </w:tcBorders>
          </w:tcPr>
          <w:p>
            <w:pPr>
              <w:spacing w:before="40" w:after="40"/>
            </w:pPr>
            <w:r>
              <w:rPr>
                <w:rFonts w:ascii="Noto Sans CJK SC" w:hAnsi="Noto Sans CJK SC" w:eastAsia="Noto Sans CJK SC"/>
                <w:sz w:val="18"/>
              </w:rPr>
              <w:t>导出失败不破坏旧文件；成功后目标文件完整且Hash可读</w:t>
            </w:r>
          </w:p>
        </w:tc>
      </w:tr>
      <w:tr>
        <w:tc>
          <w:tcPr>
            <w:tcW w:type="dxa" w:w="1080"/>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P0-22</w:t>
            </w:r>
          </w:p>
        </w:tc>
        <w:tc>
          <w:tcPr>
            <w:tcW w:type="dxa" w:w="3096"/>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恢复副本</w:t>
            </w:r>
          </w:p>
        </w:tc>
        <w:tc>
          <w:tcPr>
            <w:tcW w:type="dxa" w:w="5112"/>
            <w:vAlign w:val="center"/>
            <w:tcBorders>
              <w:top w:val="single" w:sz="4" w:color="D9DEE7"/>
              <w:left w:val="single" w:sz="4" w:color="D9DEE7"/>
              <w:bottom w:val="single" w:sz="4" w:color="D9DEE7"/>
              <w:right w:val="single" w:sz="4" w:color="D9DEE7"/>
            </w:tcBorders>
            <w:shd w:fill="FAFBFD"/>
          </w:tcPr>
          <w:p>
            <w:pPr>
              <w:spacing w:before="40" w:after="40"/>
            </w:pPr>
            <w:r>
              <w:rPr>
                <w:rFonts w:ascii="Noto Sans CJK SC" w:hAnsi="Noto Sans CJK SC" w:eastAsia="Noto Sans CJK SC"/>
                <w:sz w:val="18"/>
              </w:rPr>
              <w:t>备份恢复到新目录，索引可重建，原项目不被静默覆盖</w:t>
            </w:r>
          </w:p>
        </w:tc>
      </w:tr>
    </w:tbl>
    <w:p>
      <w:pPr>
        <w:pStyle w:val="Heading2"/>
      </w:pPr>
      <w:r>
        <w:rPr>
          <w:b w:val="0"/>
        </w:rPr>
        <w:t>18.11 v1基础功能最终关闭条件</w:t>
      </w:r>
    </w:p>
    <w:p>
      <w:pPr>
        <w:ind w:left="317" w:hanging="317"/>
      </w:pPr>
      <w:r>
        <w:t>1. P0-01至P0-22全部通过，关键故障路径具有自动化测试。</w:t>
      </w:r>
    </w:p>
    <w:p>
      <w:pPr>
        <w:ind w:left="317" w:hanging="317"/>
      </w:pPr>
      <w:r>
        <w:t>2. 小白作者无需解释即可完成建书、写作、删除恢复、导入和导出五项任务。</w:t>
      </w:r>
    </w:p>
    <w:p>
      <w:pPr>
        <w:ind w:left="317" w:hanging="317"/>
      </w:pPr>
      <w:r>
        <w:t>3. 资深作者可以关闭新手提示，直接自由写作、批量处理章节并精确控制版本。</w:t>
      </w:r>
    </w:p>
    <w:p>
      <w:pPr>
        <w:ind w:left="317" w:hanging="317"/>
      </w:pPr>
      <w:r>
        <w:t>4. 断电、崩溃、误删、迁移失败和导入取消均不会造成已提交正文丢失。</w:t>
      </w:r>
    </w:p>
    <w:p>
      <w:pPr>
        <w:ind w:left="317" w:hanging="317"/>
      </w:pPr>
      <w:r>
        <w:t>5. 设置、字数、备份和编辑器行为在Windows与macOS目标平台保持一致。</w:t>
      </w:r>
    </w:p>
    <w:p>
      <w:pPr>
        <w:ind w:left="317" w:hanging="317"/>
      </w:pPr>
      <w:r>
        <w:t>6. 不再新增一级模块；后续需求只允许优化交互、性能和已冻结功能的缺陷。</w:t>
      </w:r>
    </w:p>
    <w:p>
      <w:r>
        <w:br/>
      </w:r>
    </w:p>
    <w:p>
      <w:pPr>
        <w:pStyle w:val="Heading1"/>
      </w:pPr>
      <w:r>
        <w:t>19. 视觉系统与美感定稿</w:t>
      </w:r>
    </w:p>
    <w:p>
      <w:r>
        <w:rPr>
          <w:b/>
        </w:rPr>
        <w:t>设计结论：</w:t>
      </w:r>
      <w:r>
        <w:t>WorldForge的视觉目标不是展示AI技术感，而是构建一间安静、可信、适合长期停留的数字编辑部。视觉系统必须服从正文阅读、作者判断和低干扰创作，不能让工具面板压过作品本身。</w:t>
      </w:r>
    </w:p>
    <w:p>
      <w:pPr>
        <w:pStyle w:val="Heading2"/>
      </w:pPr>
      <w:r>
        <w:t>19.1 视觉定位：安静的编辑部</w:t>
      </w:r>
    </w:p>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1944"/>
            <w:shd w:fill="4D607E"/>
            <w:vAlign w:val="center"/>
          </w:tcPr>
          <w:p>
            <w:r>
              <w:rPr>
                <w:b/>
                <w:color w:val="FFFFFF"/>
              </w:rPr>
              <w:t>维度</w:t>
            </w:r>
          </w:p>
        </w:tc>
        <w:tc>
          <w:tcPr>
            <w:tcW w:type="dxa" w:w="7632"/>
            <w:shd w:fill="4D607E"/>
            <w:vAlign w:val="center"/>
          </w:tcPr>
          <w:p>
            <w:r>
              <w:rPr>
                <w:b/>
                <w:color w:val="FFFFFF"/>
              </w:rPr>
              <w:t>冻结规则</w:t>
            </w:r>
          </w:p>
        </w:tc>
      </w:tr>
      <w:tr>
        <w:tc>
          <w:tcPr>
            <w:tcW w:type="dxa" w:w="1944"/>
            <w:vAlign w:val="center"/>
          </w:tcPr>
          <w:p>
            <w:r>
              <w:t>核心气质</w:t>
            </w:r>
          </w:p>
        </w:tc>
        <w:tc>
          <w:tcPr>
            <w:tcW w:type="dxa" w:w="7632"/>
            <w:vAlign w:val="center"/>
          </w:tcPr>
          <w:p>
            <w:r>
              <w:t>安静、克制、纸面、墨色、编辑批注感、长期耐看</w:t>
            </w:r>
          </w:p>
        </w:tc>
      </w:tr>
      <w:tr>
        <w:tc>
          <w:tcPr>
            <w:tcW w:type="dxa" w:w="1944"/>
            <w:vAlign w:val="center"/>
          </w:tcPr>
          <w:p>
            <w:r>
              <w:t>视觉中心</w:t>
            </w:r>
          </w:p>
        </w:tc>
        <w:tc>
          <w:tcPr>
            <w:tcW w:type="dxa" w:w="7632"/>
            <w:vAlign w:val="center"/>
          </w:tcPr>
          <w:p>
            <w:r>
              <w:t>正文与作者当前任务，而不是AI按钮、评分或数据面板</w:t>
            </w:r>
          </w:p>
        </w:tc>
      </w:tr>
      <w:tr>
        <w:tc>
          <w:tcPr>
            <w:tcW w:type="dxa" w:w="1944"/>
            <w:vAlign w:val="center"/>
          </w:tcPr>
          <w:p>
            <w:r>
              <w:t>情绪目标</w:t>
            </w:r>
          </w:p>
        </w:tc>
        <w:tc>
          <w:tcPr>
            <w:tcW w:type="dxa" w:w="7632"/>
            <w:vAlign w:val="center"/>
          </w:tcPr>
          <w:p>
            <w:r>
              <w:t>让作者感到可控、专注、可靠，而非兴奋、炫技或被系统催促</w:t>
            </w:r>
          </w:p>
        </w:tc>
      </w:tr>
      <w:tr>
        <w:tc>
          <w:tcPr>
            <w:tcW w:type="dxa" w:w="1944"/>
            <w:vAlign w:val="center"/>
          </w:tcPr>
          <w:p>
            <w:r>
              <w:t>品牌表达</w:t>
            </w:r>
          </w:p>
        </w:tc>
        <w:tc>
          <w:tcPr>
            <w:tcW w:type="dxa" w:w="7632"/>
            <w:vAlign w:val="center"/>
          </w:tcPr>
          <w:p>
            <w:r>
              <w:t>低饱和靛蓝 + 暖灰纸面 + 细线批注；品牌元素只在启动、空状态和完成节点出现</w:t>
            </w:r>
          </w:p>
        </w:tc>
      </w:tr>
    </w:tbl>
    <w:p>
      <w:pPr>
        <w:pStyle w:val="ListBullet"/>
      </w:pPr>
      <w:r>
        <w:t>界面不使用赛博霓虹、紫粉渐变、发光边框、复杂粒子或AI头像作为主视觉。</w:t>
      </w:r>
    </w:p>
    <w:p>
      <w:pPr>
        <w:pStyle w:val="ListBullet"/>
      </w:pPr>
      <w:r>
        <w:t>正文区域必须比左右工具区域更明亮、更安静，并始终拥有最高视觉权重。</w:t>
      </w:r>
    </w:p>
    <w:p>
      <w:pPr>
        <w:pStyle w:val="ListBullet"/>
      </w:pPr>
      <w:r>
        <w:t>AI来源只是来源信息，不使用绿色、奖章或完成标记暗示AI稿优于作者稿。</w:t>
      </w:r>
    </w:p>
    <w:p>
      <w:pPr>
        <w:pStyle w:val="ListBullet"/>
      </w:pPr>
      <w:r>
        <w:t>美感来自版心、留白、字体、层级和微交互，不来自大面积装饰。</w:t>
      </w:r>
    </w:p>
    <w:p>
      <w:pPr>
        <w:pStyle w:val="Heading2"/>
      </w:pPr>
      <w:r>
        <w:t>19.2 视觉层级与页面骨架</w:t>
      </w:r>
    </w:p>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4819"/>
            <w:shd w:fill="4D607E"/>
            <w:vAlign w:val="center"/>
          </w:tcPr>
          <w:p>
            <w:r>
              <w:rPr>
                <w:b/>
                <w:color w:val="FFFFFF"/>
              </w:rPr>
              <w:t>层级</w:t>
            </w:r>
          </w:p>
        </w:tc>
        <w:tc>
          <w:tcPr>
            <w:tcW w:type="dxa" w:w="4819"/>
            <w:shd w:fill="4D607E"/>
            <w:vAlign w:val="center"/>
          </w:tcPr>
          <w:p>
            <w:r>
              <w:rPr>
                <w:b/>
                <w:color w:val="FFFFFF"/>
              </w:rPr>
              <w:t>内容与表现</w:t>
            </w:r>
          </w:p>
        </w:tc>
      </w:tr>
      <w:tr>
        <w:tc>
          <w:tcPr>
            <w:tcW w:type="dxa" w:w="4819"/>
            <w:vAlign w:val="center"/>
          </w:tcPr>
          <w:p>
            <w:r>
              <w:t>一级：正文/当前任务</w:t>
            </w:r>
          </w:p>
        </w:tc>
        <w:tc>
          <w:tcPr>
            <w:tcW w:type="dxa" w:w="4819"/>
            <w:vAlign w:val="center"/>
          </w:tcPr>
          <w:p>
            <w:r>
              <w:t>章节正文、向导当前问题、候选差异、冲突选择</w:t>
            </w:r>
          </w:p>
        </w:tc>
      </w:tr>
      <w:tr>
        <w:tc>
          <w:tcPr>
            <w:tcW w:type="dxa" w:w="4819"/>
            <w:vAlign w:val="center"/>
          </w:tcPr>
          <w:p>
            <w:r>
              <w:t>二级：直接上下文</w:t>
            </w:r>
          </w:p>
        </w:tc>
        <w:tc>
          <w:tcPr>
            <w:tcW w:type="dxa" w:w="4819"/>
            <w:vAlign w:val="center"/>
          </w:tcPr>
          <w:p>
            <w:r>
              <w:t>当前场景目标、出场人物状态、相关设定、主要操作</w:t>
            </w:r>
          </w:p>
        </w:tc>
      </w:tr>
      <w:tr>
        <w:tc>
          <w:tcPr>
            <w:tcW w:type="dxa" w:w="4819"/>
            <w:vAlign w:val="center"/>
          </w:tcPr>
          <w:p>
            <w:r>
              <w:t>三级：工具与审计</w:t>
            </w:r>
          </w:p>
        </w:tc>
        <w:tc>
          <w:tcPr>
            <w:tcW w:type="dxa" w:w="4819"/>
            <w:vAlign w:val="center"/>
          </w:tcPr>
          <w:p>
            <w:r>
              <w:t>来源、模型、历史版本、置信度、完整校验详情</w:t>
            </w:r>
          </w:p>
        </w:tc>
      </w:tr>
      <w:tr>
        <w:tc>
          <w:tcPr>
            <w:tcW w:type="dxa" w:w="4819"/>
            <w:vAlign w:val="center"/>
          </w:tcPr>
          <w:p>
            <w:r>
              <w:t>四级：状态信息</w:t>
            </w:r>
          </w:p>
        </w:tc>
        <w:tc>
          <w:tcPr>
            <w:tcW w:type="dxa" w:w="4819"/>
            <w:vAlign w:val="center"/>
          </w:tcPr>
          <w:p>
            <w:r>
              <w:t>保存、字数、连接状态、提示计数；默认低强调</w:t>
            </w:r>
          </w:p>
        </w:tc>
      </w:tr>
    </w:tbl>
    <w:p>
      <w:pPr>
        <w:pStyle w:val="ListBullet"/>
      </w:pPr>
      <w:r>
        <w:t>同一页面只允许一个主操作按钮；其他操作使用次按钮、文字按钮或上下文菜单。</w:t>
      </w:r>
    </w:p>
    <w:p>
      <w:pPr>
        <w:pStyle w:val="ListBullet"/>
      </w:pPr>
      <w:r>
        <w:t>同一区域同一时刻最多显示一条高强调状态，遵循P0-P3状态仲裁规则。</w:t>
      </w:r>
    </w:p>
    <w:p>
      <w:pPr>
        <w:pStyle w:val="ListBullet"/>
      </w:pPr>
      <w:r>
        <w:t>普通分组优先使用留白、标题和分隔线，不默认使用卡片外框。</w:t>
      </w:r>
    </w:p>
    <w:p>
      <w:pPr>
        <w:pStyle w:val="ListBullet"/>
      </w:pPr>
      <w:r>
        <w:t>风险、恢复、候选、冲突和需要作者决策的对象可以使用卡片。</w:t>
      </w:r>
    </w:p>
    <w:p>
      <w:pPr>
        <w:pStyle w:val="Heading2"/>
      </w:pPr>
      <w:r>
        <w:t>19.3 色彩系统</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shd w:fill="4D607E"/>
            <w:vAlign w:val="center"/>
          </w:tcPr>
          <w:p>
            <w:r>
              <w:rPr>
                <w:b/>
                <w:color w:val="FFFFFF"/>
              </w:rPr>
              <w:t>Token</w:t>
            </w:r>
          </w:p>
        </w:tc>
        <w:tc>
          <w:tcPr>
            <w:tcW w:type="dxa" w:w="3213"/>
            <w:shd w:fill="4D607E"/>
            <w:vAlign w:val="center"/>
          </w:tcPr>
          <w:p>
            <w:r>
              <w:rPr>
                <w:b/>
                <w:color w:val="FFFFFF"/>
              </w:rPr>
              <w:t>建议值</w:t>
            </w:r>
          </w:p>
        </w:tc>
        <w:tc>
          <w:tcPr>
            <w:tcW w:type="dxa" w:w="3213"/>
            <w:shd w:fill="4D607E"/>
            <w:vAlign w:val="center"/>
          </w:tcPr>
          <w:p>
            <w:r>
              <w:rPr>
                <w:b/>
                <w:color w:val="FFFFFF"/>
              </w:rPr>
              <w:t>用途</w:t>
            </w:r>
          </w:p>
        </w:tc>
      </w:tr>
      <w:tr>
        <w:tc>
          <w:tcPr>
            <w:tcW w:type="dxa" w:w="3213"/>
            <w:vAlign w:val="center"/>
          </w:tcPr>
          <w:p>
            <w:r>
              <w:t>页面背景</w:t>
            </w:r>
          </w:p>
        </w:tc>
        <w:tc>
          <w:tcPr>
            <w:tcW w:type="dxa" w:w="3213"/>
            <w:vAlign w:val="center"/>
          </w:tcPr>
          <w:p>
            <w:r>
              <w:t>浅色 #F3F0EA / 深色 #16181B</w:t>
            </w:r>
          </w:p>
        </w:tc>
        <w:tc>
          <w:tcPr>
            <w:tcW w:type="dxa" w:w="3213"/>
            <w:vAlign w:val="center"/>
          </w:tcPr>
          <w:p>
            <w:r>
              <w:t>应用壳与外围区域，略带纸面暖度</w:t>
            </w:r>
          </w:p>
        </w:tc>
      </w:tr>
      <w:tr>
        <w:tc>
          <w:tcPr>
            <w:tcW w:type="dxa" w:w="3213"/>
            <w:vAlign w:val="center"/>
          </w:tcPr>
          <w:p>
            <w:r>
              <w:t>正文纸面</w:t>
            </w:r>
          </w:p>
        </w:tc>
        <w:tc>
          <w:tcPr>
            <w:tcW w:type="dxa" w:w="3213"/>
            <w:vAlign w:val="center"/>
          </w:tcPr>
          <w:p>
            <w:r>
              <w:t>浅色 #FFFEFA / 深色 #202327</w:t>
            </w:r>
          </w:p>
        </w:tc>
        <w:tc>
          <w:tcPr>
            <w:tcW w:type="dxa" w:w="3213"/>
            <w:vAlign w:val="center"/>
          </w:tcPr>
          <w:p>
            <w:r>
              <w:t>正文编辑区，保持最高可读性</w:t>
            </w:r>
          </w:p>
        </w:tc>
      </w:tr>
      <w:tr>
        <w:tc>
          <w:tcPr>
            <w:tcW w:type="dxa" w:w="3213"/>
            <w:vAlign w:val="center"/>
          </w:tcPr>
          <w:p>
            <w:r>
              <w:t>侧栏背景</w:t>
            </w:r>
          </w:p>
        </w:tc>
        <w:tc>
          <w:tcPr>
            <w:tcW w:type="dxa" w:w="3213"/>
            <w:vAlign w:val="center"/>
          </w:tcPr>
          <w:p>
            <w:r>
              <w:t>浅色 #F6F3ED / 深色 #1B1E22</w:t>
            </w:r>
          </w:p>
        </w:tc>
        <w:tc>
          <w:tcPr>
            <w:tcW w:type="dxa" w:w="3213"/>
            <w:vAlign w:val="center"/>
          </w:tcPr>
          <w:p>
            <w:r>
              <w:t>弱于正文，不形成强边界</w:t>
            </w:r>
          </w:p>
        </w:tc>
      </w:tr>
      <w:tr>
        <w:tc>
          <w:tcPr>
            <w:tcW w:type="dxa" w:w="3213"/>
            <w:vAlign w:val="center"/>
          </w:tcPr>
          <w:p>
            <w:r>
              <w:t>主文字</w:t>
            </w:r>
          </w:p>
        </w:tc>
        <w:tc>
          <w:tcPr>
            <w:tcW w:type="dxa" w:w="3213"/>
            <w:vAlign w:val="center"/>
          </w:tcPr>
          <w:p>
            <w:r>
              <w:t>浅色 #252A2F / 深色 #E9E6DF</w:t>
            </w:r>
          </w:p>
        </w:tc>
        <w:tc>
          <w:tcPr>
            <w:tcW w:type="dxa" w:w="3213"/>
            <w:vAlign w:val="center"/>
          </w:tcPr>
          <w:p>
            <w:r>
              <w:t>不用绝对黑白，降低长时疲劳</w:t>
            </w:r>
          </w:p>
        </w:tc>
      </w:tr>
      <w:tr>
        <w:tc>
          <w:tcPr>
            <w:tcW w:type="dxa" w:w="3213"/>
            <w:vAlign w:val="center"/>
          </w:tcPr>
          <w:p>
            <w:r>
              <w:t>次文字</w:t>
            </w:r>
          </w:p>
        </w:tc>
        <w:tc>
          <w:tcPr>
            <w:tcW w:type="dxa" w:w="3213"/>
            <w:vAlign w:val="center"/>
          </w:tcPr>
          <w:p>
            <w:r>
              <w:t>浅色 #6E747A / 深色 #A9ADB2</w:t>
            </w:r>
          </w:p>
        </w:tc>
        <w:tc>
          <w:tcPr>
            <w:tcW w:type="dxa" w:w="3213"/>
            <w:vAlign w:val="center"/>
          </w:tcPr>
          <w:p>
            <w:r>
              <w:t>说明、时间、辅助状态</w:t>
            </w:r>
          </w:p>
        </w:tc>
      </w:tr>
      <w:tr>
        <w:tc>
          <w:tcPr>
            <w:tcW w:type="dxa" w:w="3213"/>
            <w:vAlign w:val="center"/>
          </w:tcPr>
          <w:p>
            <w:r>
              <w:t>品牌强调</w:t>
            </w:r>
          </w:p>
        </w:tc>
        <w:tc>
          <w:tcPr>
            <w:tcW w:type="dxa" w:w="3213"/>
            <w:vAlign w:val="center"/>
          </w:tcPr>
          <w:p>
            <w:r>
              <w:t>#4D607E / 深色 #8495B6</w:t>
            </w:r>
          </w:p>
        </w:tc>
        <w:tc>
          <w:tcPr>
            <w:tcW w:type="dxa" w:w="3213"/>
            <w:vAlign w:val="center"/>
          </w:tcPr>
          <w:p>
            <w:r>
              <w:t>主按钮、当前选中、链接</w:t>
            </w:r>
          </w:p>
        </w:tc>
      </w:tr>
      <w:tr>
        <w:tc>
          <w:tcPr>
            <w:tcW w:type="dxa" w:w="3213"/>
            <w:vAlign w:val="center"/>
          </w:tcPr>
          <w:p>
            <w:r>
              <w:t>AI来源</w:t>
            </w:r>
          </w:p>
        </w:tc>
        <w:tc>
          <w:tcPr>
            <w:tcW w:type="dxa" w:w="3213"/>
            <w:vAlign w:val="center"/>
          </w:tcPr>
          <w:p>
            <w:r>
              <w:t>#6673A7 / 深色 #8E9BCD</w:t>
            </w:r>
          </w:p>
        </w:tc>
        <w:tc>
          <w:tcPr>
            <w:tcW w:type="dxa" w:w="3213"/>
            <w:vAlign w:val="center"/>
          </w:tcPr>
          <w:p>
            <w:r>
              <w:t>仅表达来源，不表达优劣</w:t>
            </w:r>
          </w:p>
        </w:tc>
      </w:tr>
      <w:tr>
        <w:tc>
          <w:tcPr>
            <w:tcW w:type="dxa" w:w="3213"/>
            <w:vAlign w:val="center"/>
          </w:tcPr>
          <w:p>
            <w:r>
              <w:t>成功</w:t>
            </w:r>
          </w:p>
        </w:tc>
        <w:tc>
          <w:tcPr>
            <w:tcW w:type="dxa" w:w="3213"/>
            <w:vAlign w:val="center"/>
          </w:tcPr>
          <w:p>
            <w:r>
              <w:t>#718B76</w:t>
            </w:r>
          </w:p>
        </w:tc>
        <w:tc>
          <w:tcPr>
            <w:tcW w:type="dxa" w:w="3213"/>
            <w:vAlign w:val="center"/>
          </w:tcPr>
          <w:p>
            <w:r>
              <w:t>仅用于保存成功、恢复完成、验证通过</w:t>
            </w:r>
          </w:p>
        </w:tc>
      </w:tr>
      <w:tr>
        <w:tc>
          <w:tcPr>
            <w:tcW w:type="dxa" w:w="3213"/>
            <w:vAlign w:val="center"/>
          </w:tcPr>
          <w:p>
            <w:r>
              <w:t>警告</w:t>
            </w:r>
          </w:p>
        </w:tc>
        <w:tc>
          <w:tcPr>
            <w:tcW w:type="dxa" w:w="3213"/>
            <w:vAlign w:val="center"/>
          </w:tcPr>
          <w:p>
            <w:r>
              <w:t>#B58A4A</w:t>
            </w:r>
          </w:p>
        </w:tc>
        <w:tc>
          <w:tcPr>
            <w:tcW w:type="dxa" w:w="3213"/>
            <w:vAlign w:val="center"/>
          </w:tcPr>
          <w:p>
            <w:r>
              <w:t>需要注意但不阻断</w:t>
            </w:r>
          </w:p>
        </w:tc>
      </w:tr>
      <w:tr>
        <w:tc>
          <w:tcPr>
            <w:tcW w:type="dxa" w:w="3213"/>
            <w:vAlign w:val="center"/>
          </w:tcPr>
          <w:p>
            <w:r>
              <w:t>危险</w:t>
            </w:r>
          </w:p>
        </w:tc>
        <w:tc>
          <w:tcPr>
            <w:tcW w:type="dxa" w:w="3213"/>
            <w:vAlign w:val="center"/>
          </w:tcPr>
          <w:p>
            <w:r>
              <w:t>#B46B63</w:t>
            </w:r>
          </w:p>
        </w:tc>
        <w:tc>
          <w:tcPr>
            <w:tcW w:type="dxa" w:w="3213"/>
            <w:vAlign w:val="center"/>
          </w:tcPr>
          <w:p>
            <w:r>
              <w:t>数据风险、永久删除、无法保存</w:t>
            </w:r>
          </w:p>
        </w:tc>
      </w:tr>
    </w:tbl>
    <w:p>
      <w:pPr>
        <w:pStyle w:val="ListBullet"/>
      </w:pPr>
      <w:r>
        <w:t>当前稿使用中性墨色；AI备选使用低饱和蓝紫；二者不得采用“橙色对绿色”的价值对照。</w:t>
      </w:r>
    </w:p>
    <w:p>
      <w:pPr>
        <w:pStyle w:val="ListBullet"/>
      </w:pPr>
      <w:r>
        <w:t>文本Diff中，新增使用低饱和绿色底，删除使用低饱和红色底，冲突使用琥珀边框。</w:t>
      </w:r>
    </w:p>
    <w:p>
      <w:pPr>
        <w:pStyle w:val="ListBullet"/>
      </w:pPr>
      <w:r>
        <w:t>颜色不能成为唯一信息渠道，必须同时提供图标、标签或文字。</w:t>
      </w:r>
    </w:p>
    <w:p>
      <w:pPr>
        <w:pStyle w:val="Heading2"/>
      </w:pPr>
      <w:r>
        <w:t>19.4 字体、版心与阅读参数</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shd w:fill="4D607E"/>
            <w:vAlign w:val="center"/>
          </w:tcPr>
          <w:p>
            <w:r>
              <w:rPr>
                <w:b/>
                <w:color w:val="FFFFFF"/>
              </w:rPr>
              <w:t>场景</w:t>
            </w:r>
          </w:p>
        </w:tc>
        <w:tc>
          <w:tcPr>
            <w:tcW w:type="dxa" w:w="3213"/>
            <w:shd w:fill="4D607E"/>
            <w:vAlign w:val="center"/>
          </w:tcPr>
          <w:p>
            <w:r>
              <w:rPr>
                <w:b/>
                <w:color w:val="FFFFFF"/>
              </w:rPr>
              <w:t>字体策略</w:t>
            </w:r>
          </w:p>
        </w:tc>
        <w:tc>
          <w:tcPr>
            <w:tcW w:type="dxa" w:w="3213"/>
            <w:shd w:fill="4D607E"/>
            <w:vAlign w:val="center"/>
          </w:tcPr>
          <w:p>
            <w:r>
              <w:rPr>
                <w:b/>
                <w:color w:val="FFFFFF"/>
              </w:rPr>
              <w:t>说明</w:t>
            </w:r>
          </w:p>
        </w:tc>
      </w:tr>
      <w:tr>
        <w:tc>
          <w:tcPr>
            <w:tcW w:type="dxa" w:w="3213"/>
            <w:vAlign w:val="center"/>
          </w:tcPr>
          <w:p>
            <w:r>
              <w:t>界面字体</w:t>
            </w:r>
          </w:p>
        </w:tc>
        <w:tc>
          <w:tcPr>
            <w:tcW w:type="dxa" w:w="3213"/>
            <w:vAlign w:val="center"/>
          </w:tcPr>
          <w:p>
            <w:r>
              <w:t>系统无衬线字体</w:t>
            </w:r>
          </w:p>
        </w:tc>
        <w:tc>
          <w:tcPr>
            <w:tcW w:type="dxa" w:w="3213"/>
            <w:vAlign w:val="center"/>
          </w:tcPr>
          <w:p>
            <w:r>
              <w:t>菜单、按钮、设置、状态</w:t>
            </w:r>
          </w:p>
        </w:tc>
      </w:tr>
      <w:tr>
        <w:tc>
          <w:tcPr>
            <w:tcW w:type="dxa" w:w="3213"/>
            <w:vAlign w:val="center"/>
          </w:tcPr>
          <w:p>
            <w:r>
              <w:t>正文默认</w:t>
            </w:r>
          </w:p>
        </w:tc>
        <w:tc>
          <w:tcPr>
            <w:tcW w:type="dxa" w:w="3213"/>
            <w:vAlign w:val="center"/>
          </w:tcPr>
          <w:p>
            <w:r>
              <w:t>系统宋体或系统可用阅读字体</w:t>
            </w:r>
          </w:p>
        </w:tc>
        <w:tc>
          <w:tcPr>
            <w:tcW w:type="dxa" w:w="3213"/>
            <w:vAlign w:val="center"/>
          </w:tcPr>
          <w:p>
            <w:r>
              <w:t>增强长篇阅读的纸面感；用户可切换</w:t>
            </w:r>
          </w:p>
        </w:tc>
      </w:tr>
      <w:tr>
        <w:tc>
          <w:tcPr>
            <w:tcW w:type="dxa" w:w="3213"/>
            <w:vAlign w:val="center"/>
          </w:tcPr>
          <w:p>
            <w:r>
              <w:t>标题</w:t>
            </w:r>
          </w:p>
        </w:tc>
        <w:tc>
          <w:tcPr>
            <w:tcW w:type="dxa" w:w="3213"/>
            <w:vAlign w:val="center"/>
          </w:tcPr>
          <w:p>
            <w:r>
              <w:t>系统无衬线中黑或阅读字体中黑</w:t>
            </w:r>
          </w:p>
        </w:tc>
        <w:tc>
          <w:tcPr>
            <w:tcW w:type="dxa" w:w="3213"/>
            <w:vAlign w:val="center"/>
          </w:tcPr>
          <w:p>
            <w:r>
              <w:t>不用装饰性字体</w:t>
            </w:r>
          </w:p>
        </w:tc>
      </w:tr>
      <w:tr>
        <w:tc>
          <w:tcPr>
            <w:tcW w:type="dxa" w:w="3213"/>
            <w:vAlign w:val="center"/>
          </w:tcPr>
          <w:p>
            <w:r>
              <w:t>代码/标识</w:t>
            </w:r>
          </w:p>
        </w:tc>
        <w:tc>
          <w:tcPr>
            <w:tcW w:type="dxa" w:w="3213"/>
            <w:vAlign w:val="center"/>
          </w:tcPr>
          <w:p>
            <w:r>
              <w:t>系统等宽字体</w:t>
            </w:r>
          </w:p>
        </w:tc>
        <w:tc>
          <w:tcPr>
            <w:tcW w:type="dxa" w:w="3213"/>
            <w:vAlign w:val="center"/>
          </w:tcPr>
          <w:p>
            <w:r>
              <w:t>仅用于调试、高级模式和技术字段</w:t>
            </w:r>
          </w:p>
        </w:tc>
      </w:tr>
    </w:tbl>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4819"/>
            <w:shd w:fill="4D607E"/>
            <w:vAlign w:val="center"/>
          </w:tcPr>
          <w:p>
            <w:r>
              <w:rPr>
                <w:b/>
                <w:color w:val="FFFFFF"/>
              </w:rPr>
              <w:t>参数</w:t>
            </w:r>
          </w:p>
        </w:tc>
        <w:tc>
          <w:tcPr>
            <w:tcW w:type="dxa" w:w="4819"/>
            <w:shd w:fill="4D607E"/>
            <w:vAlign w:val="center"/>
          </w:tcPr>
          <w:p>
            <w:r>
              <w:rPr>
                <w:b/>
                <w:color w:val="FFFFFF"/>
              </w:rPr>
              <w:t>冻结值</w:t>
            </w:r>
          </w:p>
        </w:tc>
      </w:tr>
      <w:tr>
        <w:tc>
          <w:tcPr>
            <w:tcW w:type="dxa" w:w="4819"/>
            <w:vAlign w:val="center"/>
          </w:tcPr>
          <w:p>
            <w:r>
              <w:t>正文大小</w:t>
            </w:r>
          </w:p>
        </w:tc>
        <w:tc>
          <w:tcPr>
            <w:tcW w:type="dxa" w:w="4819"/>
            <w:vAlign w:val="center"/>
          </w:tcPr>
          <w:p>
            <w:r>
              <w:t>18px，允许16/18/20/22px</w:t>
            </w:r>
          </w:p>
        </w:tc>
      </w:tr>
      <w:tr>
        <w:tc>
          <w:tcPr>
            <w:tcW w:type="dxa" w:w="4819"/>
            <w:vAlign w:val="center"/>
          </w:tcPr>
          <w:p>
            <w:r>
              <w:t>正文行距</w:t>
            </w:r>
          </w:p>
        </w:tc>
        <w:tc>
          <w:tcPr>
            <w:tcW w:type="dxa" w:w="4819"/>
            <w:vAlign w:val="center"/>
          </w:tcPr>
          <w:p>
            <w:r>
              <w:t>1.75-1.85，默认1.8</w:t>
            </w:r>
          </w:p>
        </w:tc>
      </w:tr>
      <w:tr>
        <w:tc>
          <w:tcPr>
            <w:tcW w:type="dxa" w:w="4819"/>
            <w:vAlign w:val="center"/>
          </w:tcPr>
          <w:p>
            <w:r>
              <w:t>段间距</w:t>
            </w:r>
          </w:p>
        </w:tc>
        <w:tc>
          <w:tcPr>
            <w:tcW w:type="dxa" w:w="4819"/>
            <w:vAlign w:val="center"/>
          </w:tcPr>
          <w:p>
            <w:r>
              <w:t>8-12px，默认10px</w:t>
            </w:r>
          </w:p>
        </w:tc>
      </w:tr>
      <w:tr>
        <w:tc>
          <w:tcPr>
            <w:tcW w:type="dxa" w:w="4819"/>
            <w:vAlign w:val="center"/>
          </w:tcPr>
          <w:p>
            <w:r>
              <w:t>正文宽度</w:t>
            </w:r>
          </w:p>
        </w:tc>
        <w:tc>
          <w:tcPr>
            <w:tcW w:type="dxa" w:w="4819"/>
            <w:vAlign w:val="center"/>
          </w:tcPr>
          <w:p>
            <w:r>
              <w:t>窄680px / 标准760px / 宽860px</w:t>
            </w:r>
          </w:p>
        </w:tc>
      </w:tr>
      <w:tr>
        <w:tc>
          <w:tcPr>
            <w:tcW w:type="dxa" w:w="4819"/>
            <w:vAlign w:val="center"/>
          </w:tcPr>
          <w:p>
            <w:r>
              <w:t>界面正文</w:t>
            </w:r>
          </w:p>
        </w:tc>
        <w:tc>
          <w:tcPr>
            <w:tcW w:type="dxa" w:w="4819"/>
            <w:vAlign w:val="center"/>
          </w:tcPr>
          <w:p>
            <w:r>
              <w:t>14px；辅助说明12-13px；面板标题15-16px</w:t>
            </w:r>
          </w:p>
        </w:tc>
      </w:tr>
      <w:tr>
        <w:tc>
          <w:tcPr>
            <w:tcW w:type="dxa" w:w="4819"/>
            <w:vAlign w:val="center"/>
          </w:tcPr>
          <w:p>
            <w:r>
              <w:t>段首缩进</w:t>
            </w:r>
          </w:p>
        </w:tc>
        <w:tc>
          <w:tcPr>
            <w:tcW w:type="dxa" w:w="4819"/>
            <w:vAlign w:val="center"/>
          </w:tcPr>
          <w:p>
            <w:r>
              <w:t>项目级可选，默认不强制</w:t>
            </w:r>
          </w:p>
        </w:tc>
      </w:tr>
    </w:tbl>
    <w:p>
      <w:pPr>
        <w:pStyle w:val="Heading2"/>
      </w:pPr>
      <w:r>
        <w:t>19.5 间距、边框、圆角与阴影</w:t>
      </w:r>
    </w:p>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4819"/>
            <w:shd w:fill="4D607E"/>
            <w:vAlign w:val="center"/>
          </w:tcPr>
          <w:p>
            <w:r>
              <w:rPr>
                <w:b/>
                <w:color w:val="FFFFFF"/>
              </w:rPr>
              <w:t>项目</w:t>
            </w:r>
          </w:p>
        </w:tc>
        <w:tc>
          <w:tcPr>
            <w:tcW w:type="dxa" w:w="4819"/>
            <w:shd w:fill="4D607E"/>
            <w:vAlign w:val="center"/>
          </w:tcPr>
          <w:p>
            <w:r>
              <w:rPr>
                <w:b/>
                <w:color w:val="FFFFFF"/>
              </w:rPr>
              <w:t>规范</w:t>
            </w:r>
          </w:p>
        </w:tc>
      </w:tr>
      <w:tr>
        <w:tc>
          <w:tcPr>
            <w:tcW w:type="dxa" w:w="4819"/>
            <w:vAlign w:val="center"/>
          </w:tcPr>
          <w:p>
            <w:r>
              <w:t>间距基准</w:t>
            </w:r>
          </w:p>
        </w:tc>
        <w:tc>
          <w:tcPr>
            <w:tcW w:type="dxa" w:w="4819"/>
            <w:vAlign w:val="center"/>
          </w:tcPr>
          <w:p>
            <w:r>
              <w:t>4px；常用8/12/16/24/32px</w:t>
            </w:r>
          </w:p>
        </w:tc>
      </w:tr>
      <w:tr>
        <w:tc>
          <w:tcPr>
            <w:tcW w:type="dxa" w:w="4819"/>
            <w:vAlign w:val="center"/>
          </w:tcPr>
          <w:p>
            <w:r>
              <w:t>页面留白</w:t>
            </w:r>
          </w:p>
        </w:tc>
        <w:tc>
          <w:tcPr>
            <w:tcW w:type="dxa" w:w="4819"/>
            <w:vAlign w:val="center"/>
          </w:tcPr>
          <w:p>
            <w:r>
              <w:t>主编辑区顶部/左右至少24px；聚焦模式进一步放宽</w:t>
            </w:r>
          </w:p>
        </w:tc>
      </w:tr>
      <w:tr>
        <w:tc>
          <w:tcPr>
            <w:tcW w:type="dxa" w:w="4819"/>
            <w:vAlign w:val="center"/>
          </w:tcPr>
          <w:p>
            <w:r>
              <w:t>圆角</w:t>
            </w:r>
          </w:p>
        </w:tc>
        <w:tc>
          <w:tcPr>
            <w:tcW w:type="dxa" w:w="4819"/>
            <w:vAlign w:val="center"/>
          </w:tcPr>
          <w:p>
            <w:r>
              <w:t>输入框8px；普通容器10px；重要模态框12px；不全局统一大圆角</w:t>
            </w:r>
          </w:p>
        </w:tc>
      </w:tr>
      <w:tr>
        <w:tc>
          <w:tcPr>
            <w:tcW w:type="dxa" w:w="4819"/>
            <w:vAlign w:val="center"/>
          </w:tcPr>
          <w:p>
            <w:r>
              <w:t>分隔线</w:t>
            </w:r>
          </w:p>
        </w:tc>
        <w:tc>
          <w:tcPr>
            <w:tcW w:type="dxa" w:w="4819"/>
            <w:vAlign w:val="center"/>
          </w:tcPr>
          <w:p>
            <w:r>
              <w:t>1px低对比；写作页面优先使用分隔线而非卡片边框</w:t>
            </w:r>
          </w:p>
        </w:tc>
      </w:tr>
      <w:tr>
        <w:tc>
          <w:tcPr>
            <w:tcW w:type="dxa" w:w="4819"/>
            <w:vAlign w:val="center"/>
          </w:tcPr>
          <w:p>
            <w:r>
              <w:t>阴影</w:t>
            </w:r>
          </w:p>
        </w:tc>
        <w:tc>
          <w:tcPr>
            <w:tcW w:type="dxa" w:w="4819"/>
            <w:vAlign w:val="center"/>
          </w:tcPr>
          <w:p>
            <w:r>
              <w:t>只用于浮动工具条、拖拽项、模态框；静态卡片默认无阴影</w:t>
            </w:r>
          </w:p>
        </w:tc>
      </w:tr>
      <w:tr>
        <w:tc>
          <w:tcPr>
            <w:tcW w:type="dxa" w:w="4819"/>
            <w:vAlign w:val="center"/>
          </w:tcPr>
          <w:p>
            <w:r>
              <w:t>密度</w:t>
            </w:r>
          </w:p>
        </w:tc>
        <w:tc>
          <w:tcPr>
            <w:tcW w:type="dxa" w:w="4819"/>
            <w:vAlign w:val="center"/>
          </w:tcPr>
          <w:p>
            <w:r>
              <w:t>默认舒适；专业模式允许紧凑，但正文排版不随之压缩</w:t>
            </w:r>
          </w:p>
        </w:tc>
      </w:tr>
    </w:tbl>
    <w:p>
      <w:pPr>
        <w:pStyle w:val="Heading2"/>
      </w:pPr>
      <w:r>
        <w:t>19.6 写作工作台高保真规则</w:t>
      </w:r>
    </w:p>
    <w:p>
      <w:r>
        <w:drawing>
          <wp:inline xmlns:a="http://schemas.openxmlformats.org/drawingml/2006/main" xmlns:pic="http://schemas.openxmlformats.org/drawingml/2006/picture">
            <wp:extent cx="5852160" cy="3511296"/>
            <wp:docPr id="17" name="Picture 17" descr="Image: image16.png"/>
            <wp:cNvGraphicFramePr>
              <a:graphicFrameLocks noChangeAspect="1"/>
            </wp:cNvGraphicFramePr>
            <a:graphic>
              <a:graphicData uri="http://schemas.openxmlformats.org/drawingml/2006/picture">
                <pic:pic>
                  <pic:nvPicPr>
                    <pic:cNvPr id="0" name="01_quiet_editorial_workspace.png"/>
                    <pic:cNvPicPr/>
                  </pic:nvPicPr>
                  <pic:blipFill>
                    <a:blip r:embed="rId26"/>
                    <a:stretch>
                      <a:fillRect/>
                    </a:stretch>
                  </pic:blipFill>
                  <pic:spPr>
                    <a:xfrm>
                      <a:off x="0" y="0"/>
                      <a:ext cx="5852160" cy="3511296"/>
                    </a:xfrm>
                    <a:prstGeom prst="rect"/>
                  </pic:spPr>
                </pic:pic>
              </a:graphicData>
            </a:graphic>
          </wp:inline>
        </w:drawing>
      </w:r>
    </w:p>
    <w:p>
      <w:pPr>
        <w:pStyle w:val="Caption"/>
        <w:jc w:val="center"/>
      </w:pPr>
      <w:r>
        <w:rPr>
          <w:color w:val="6E747A"/>
          <w:sz w:val="18"/>
        </w:rPr>
        <w:t>图19-1  “安静编辑部”写作工作台视觉方向示意</w:t>
      </w:r>
    </w:p>
    <w:p>
      <w:pPr>
        <w:pStyle w:val="ListBullet"/>
      </w:pPr>
      <w:r>
        <w:t>中央正文使用独立纸面，不使用明显外框和重阴影。</w:t>
      </w:r>
    </w:p>
    <w:p>
      <w:pPr>
        <w:pStyle w:val="ListBullet"/>
      </w:pPr>
      <w:r>
        <w:t>左侧章节树以层级和留白组织，不把每一章做成独立卡片。</w:t>
      </w:r>
    </w:p>
    <w:p>
      <w:pPr>
        <w:pStyle w:val="ListBullet"/>
      </w:pPr>
      <w:r>
        <w:t>右侧栏顶部优先显示当前场景的少量人物状态摘要；完整人物和设定按需展开。</w:t>
      </w:r>
    </w:p>
    <w:p>
      <w:pPr>
        <w:pStyle w:val="ListBullet"/>
      </w:pPr>
      <w:r>
        <w:t>常用AI动作使用低强调按钮；只有用户正在执行的主要动作使用品牌色实心按钮。</w:t>
      </w:r>
    </w:p>
    <w:p>
      <w:pPr>
        <w:pStyle w:val="ListBullet"/>
      </w:pPr>
      <w:r>
        <w:t>保存成功不弹Toast，仅在顶部状态文字柔和变化；保存失败属于P0，必须明确显示。</w:t>
      </w:r>
    </w:p>
    <w:p>
      <w:pPr>
        <w:pStyle w:val="ListBullet"/>
      </w:pPr>
      <w:r>
        <w:t>聚焦模式隐藏左右栏、来源、校验和AI状态，只保留正文、章节标题与字数。</w:t>
      </w:r>
    </w:p>
    <w:p>
      <w:pPr>
        <w:pStyle w:val="Heading2"/>
      </w:pPr>
      <w:r>
        <w:t>19.7 新手向导视觉与交互</w:t>
      </w:r>
    </w:p>
    <w:p>
      <w:r>
        <w:drawing>
          <wp:inline xmlns:a="http://schemas.openxmlformats.org/drawingml/2006/main" xmlns:pic="http://schemas.openxmlformats.org/drawingml/2006/picture">
            <wp:extent cx="5852160" cy="3511296"/>
            <wp:docPr id="18" name="Picture 18" descr="Image: image17.png"/>
            <wp:cNvGraphicFramePr>
              <a:graphicFrameLocks noChangeAspect="1"/>
            </wp:cNvGraphicFramePr>
            <a:graphic>
              <a:graphicData uri="http://schemas.openxmlformats.org/drawingml/2006/picture">
                <pic:pic>
                  <pic:nvPicPr>
                    <pic:cNvPr id="0" name="03_dialogue_onboarding.png"/>
                    <pic:cNvPicPr/>
                  </pic:nvPicPr>
                  <pic:blipFill>
                    <a:blip r:embed="rId27"/>
                    <a:stretch>
                      <a:fillRect/>
                    </a:stretch>
                  </pic:blipFill>
                  <pic:spPr>
                    <a:xfrm>
                      <a:off x="0" y="0"/>
                      <a:ext cx="5852160" cy="3511296"/>
                    </a:xfrm>
                    <a:prstGeom prst="rect"/>
                  </pic:spPr>
                </pic:pic>
              </a:graphicData>
            </a:graphic>
          </wp:inline>
        </w:drawing>
      </w:r>
    </w:p>
    <w:p>
      <w:pPr>
        <w:pStyle w:val="Caption"/>
        <w:jc w:val="center"/>
      </w:pPr>
      <w:r>
        <w:rPr>
          <w:color w:val="6E747A"/>
          <w:sz w:val="18"/>
        </w:rPr>
        <w:t>图19-2  对话式新手向导视觉方向示意</w:t>
      </w:r>
    </w:p>
    <w:p>
      <w:pPr>
        <w:pStyle w:val="ListBullet"/>
      </w:pPr>
      <w:r>
        <w:t>每一步只提出一个核心问题，避免同屏出现完整项目表单。</w:t>
      </w:r>
    </w:p>
    <w:p>
      <w:pPr>
        <w:pStyle w:val="ListBullet"/>
      </w:pPr>
      <w:r>
        <w:t>允许自然语言输入，并提供2-5个中性方向按钮帮助起步。</w:t>
      </w:r>
    </w:p>
    <w:p>
      <w:pPr>
        <w:pStyle w:val="ListBullet"/>
      </w:pPr>
      <w:r>
        <w:t>进度提示保持轻量，不使用企业开户式的大型步骤条。</w:t>
      </w:r>
    </w:p>
    <w:p>
      <w:pPr>
        <w:pStyle w:val="ListBullet"/>
      </w:pPr>
      <w:r>
        <w:t>右侧或下方实时整理成故事摘要，让作者看到输入正在形成可用结构。</w:t>
      </w:r>
    </w:p>
    <w:p>
      <w:pPr>
        <w:pStyle w:val="ListBullet"/>
      </w:pPr>
      <w:r>
        <w:t>跳过始终可见；新手脚手架在进入第一章时按需出现，不用红色错误阻断。</w:t>
      </w:r>
    </w:p>
    <w:p>
      <w:pPr>
        <w:pStyle w:val="Heading2"/>
      </w:pPr>
      <w:r>
        <w:t>19.8 候选稿、状态提案与冲突页面</w:t>
      </w:r>
    </w:p>
    <w:p>
      <w:r>
        <w:drawing>
          <wp:inline xmlns:a="http://schemas.openxmlformats.org/drawingml/2006/main" xmlns:pic="http://schemas.openxmlformats.org/drawingml/2006/picture">
            <wp:extent cx="5852160" cy="3511296"/>
            <wp:docPr id="19" name="Picture 19" descr="Image: image18.png"/>
            <wp:cNvGraphicFramePr>
              <a:graphicFrameLocks noChangeAspect="1"/>
            </wp:cNvGraphicFramePr>
            <a:graphic>
              <a:graphicData uri="http://schemas.openxmlformats.org/drawingml/2006/picture">
                <pic:pic>
                  <pic:nvPicPr>
                    <pic:cNvPr id="0" name="02_refined_candidate_compare.png"/>
                    <pic:cNvPicPr/>
                  </pic:nvPicPr>
                  <pic:blipFill>
                    <a:blip r:embed="rId28"/>
                    <a:stretch>
                      <a:fillRect/>
                    </a:stretch>
                  </pic:blipFill>
                  <pic:spPr>
                    <a:xfrm>
                      <a:off x="0" y="0"/>
                      <a:ext cx="5852160" cy="3511296"/>
                    </a:xfrm>
                    <a:prstGeom prst="rect"/>
                  </pic:spPr>
                </pic:pic>
              </a:graphicData>
            </a:graphic>
          </wp:inline>
        </w:drawing>
      </w:r>
    </w:p>
    <w:p>
      <w:pPr>
        <w:pStyle w:val="Caption"/>
        <w:jc w:val="center"/>
      </w:pPr>
      <w:r>
        <w:rPr>
          <w:color w:val="6E747A"/>
          <w:sz w:val="18"/>
        </w:rPr>
        <w:t>图19-3  中性来源语义的候选稿对比示意</w:t>
      </w:r>
    </w:p>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4819"/>
            <w:shd w:fill="4D607E"/>
            <w:vAlign w:val="center"/>
          </w:tcPr>
          <w:p>
            <w:r>
              <w:rPr>
                <w:b/>
                <w:color w:val="FFFFFF"/>
              </w:rPr>
              <w:t>页面</w:t>
            </w:r>
          </w:p>
        </w:tc>
        <w:tc>
          <w:tcPr>
            <w:tcW w:type="dxa" w:w="4819"/>
            <w:shd w:fill="4D607E"/>
            <w:vAlign w:val="center"/>
          </w:tcPr>
          <w:p>
            <w:r>
              <w:rPr>
                <w:b/>
                <w:color w:val="FFFFFF"/>
              </w:rPr>
              <w:t>视觉与交互规则</w:t>
            </w:r>
          </w:p>
        </w:tc>
      </w:tr>
      <w:tr>
        <w:tc>
          <w:tcPr>
            <w:tcW w:type="dxa" w:w="4819"/>
            <w:vAlign w:val="center"/>
          </w:tcPr>
          <w:p>
            <w:r>
              <w:t>候选稿对比</w:t>
            </w:r>
          </w:p>
        </w:tc>
        <w:tc>
          <w:tcPr>
            <w:tcW w:type="dxa" w:w="4819"/>
            <w:vAlign w:val="center"/>
          </w:tcPr>
          <w:p>
            <w:r>
              <w:t>当前稿为中性纸面，AI稿为低饱和蓝紫标签；左右滚动默认同步，可解除</w:t>
            </w:r>
          </w:p>
        </w:tc>
      </w:tr>
      <w:tr>
        <w:tc>
          <w:tcPr>
            <w:tcW w:type="dxa" w:w="4819"/>
            <w:vAlign w:val="center"/>
          </w:tcPr>
          <w:p>
            <w:r>
              <w:t>轻量改写</w:t>
            </w:r>
          </w:p>
        </w:tc>
        <w:tc>
          <w:tcPr>
            <w:tcW w:type="dxa" w:w="4819"/>
            <w:vAlign w:val="center"/>
          </w:tcPr>
          <w:p>
            <w:r>
              <w:t>正文内联预览，不打开完整对比页；应用后显示短时“撤销”入口</w:t>
            </w:r>
          </w:p>
        </w:tc>
      </w:tr>
      <w:tr>
        <w:tc>
          <w:tcPr>
            <w:tcW w:type="dxa" w:w="4819"/>
            <w:vAlign w:val="center"/>
          </w:tcPr>
          <w:p>
            <w:r>
              <w:t>状态提案</w:t>
            </w:r>
          </w:p>
        </w:tc>
        <w:tc>
          <w:tcPr>
            <w:tcW w:type="dxa" w:w="4819"/>
            <w:vAlign w:val="center"/>
          </w:tcPr>
          <w:p>
            <w:r>
              <w:t>按人物/实体分组，默认显示字段变化和证据；具体置信度折叠到详情</w:t>
            </w:r>
          </w:p>
        </w:tc>
      </w:tr>
      <w:tr>
        <w:tc>
          <w:tcPr>
            <w:tcW w:type="dxa" w:w="4819"/>
            <w:vAlign w:val="center"/>
          </w:tcPr>
          <w:p>
            <w:r>
              <w:t>Revision冲突</w:t>
            </w:r>
          </w:p>
        </w:tc>
        <w:tc>
          <w:tcPr>
            <w:tcW w:type="dxa" w:w="4819"/>
            <w:vAlign w:val="center"/>
          </w:tcPr>
          <w:p>
            <w:r>
              <w:t>当前稿与备选使用中性来源标签，真正冲突使用琥珀边框；文案为“保留当前/采用备选”</w:t>
            </w:r>
          </w:p>
        </w:tc>
      </w:tr>
      <w:tr>
        <w:tc>
          <w:tcPr>
            <w:tcW w:type="dxa" w:w="4819"/>
            <w:vAlign w:val="center"/>
          </w:tcPr>
          <w:p>
            <w:r>
              <w:t>校验问题</w:t>
            </w:r>
          </w:p>
        </w:tc>
        <w:tc>
          <w:tcPr>
            <w:tcW w:type="dxa" w:w="4819"/>
            <w:vAlign w:val="center"/>
          </w:tcPr>
          <w:p>
            <w:r>
              <w:t>默认仅展示少量高风险；提示、警告和错误的视觉权重严格区分</w:t>
            </w:r>
          </w:p>
        </w:tc>
      </w:tr>
    </w:tbl>
    <w:p>
      <w:pPr>
        <w:pStyle w:val="Heading2"/>
      </w:pPr>
      <w:r>
        <w:t>19.9 设置、恢复与导入页面</w:t>
      </w:r>
    </w:p>
    <w:p>
      <w:pPr>
        <w:pStyle w:val="ListBullet"/>
      </w:pPr>
      <w:r>
        <w:t>设置中心使用左侧分类 + 右侧轻分组，普通设置项不用大卡片包围。</w:t>
      </w:r>
    </w:p>
    <w:p>
      <w:pPr>
        <w:pStyle w:val="ListBullet"/>
      </w:pPr>
      <w:r>
        <w:t>恢复与安全页面可以使用卡片，但当前项目、备份时间和恢复影响必须形成清晰主次。</w:t>
      </w:r>
    </w:p>
    <w:p>
      <w:pPr>
        <w:pStyle w:val="ListBullet"/>
      </w:pPr>
      <w:r>
        <w:t>导入预览强调章节结构和错误定位；复杂文件警告集中展示，不在每一行重复警示。</w:t>
      </w:r>
    </w:p>
    <w:p>
      <w:pPr>
        <w:pStyle w:val="ListBullet"/>
      </w:pPr>
      <w:r>
        <w:t>危险操作只在最终确认处使用危险色，页面日常浏览不铺设红色警告背景。</w:t>
      </w:r>
    </w:p>
    <w:p>
      <w:pPr>
        <w:pStyle w:val="Heading2"/>
      </w:pPr>
      <w:r>
        <w:t>19.10 图标、品牌语言与空状态</w:t>
      </w:r>
    </w:p>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4819"/>
            <w:shd w:fill="4D607E"/>
            <w:vAlign w:val="center"/>
          </w:tcPr>
          <w:p>
            <w:r>
              <w:rPr>
                <w:b/>
                <w:color w:val="FFFFFF"/>
              </w:rPr>
              <w:t>元素</w:t>
            </w:r>
          </w:p>
        </w:tc>
        <w:tc>
          <w:tcPr>
            <w:tcW w:type="dxa" w:w="4819"/>
            <w:shd w:fill="4D607E"/>
            <w:vAlign w:val="center"/>
          </w:tcPr>
          <w:p>
            <w:r>
              <w:rPr>
                <w:b/>
                <w:color w:val="FFFFFF"/>
              </w:rPr>
              <w:t>规则</w:t>
            </w:r>
          </w:p>
        </w:tc>
      </w:tr>
      <w:tr>
        <w:tc>
          <w:tcPr>
            <w:tcW w:type="dxa" w:w="4819"/>
            <w:vAlign w:val="center"/>
          </w:tcPr>
          <w:p>
            <w:r>
              <w:t>图标</w:t>
            </w:r>
          </w:p>
        </w:tc>
        <w:tc>
          <w:tcPr>
            <w:tcW w:type="dxa" w:w="4819"/>
            <w:vAlign w:val="center"/>
          </w:tcPr>
          <w:p>
            <w:r>
              <w:t>使用统一线性图标；默认16-18px；不使用Emoji作为核心导航图标</w:t>
            </w:r>
          </w:p>
        </w:tc>
      </w:tr>
      <w:tr>
        <w:tc>
          <w:tcPr>
            <w:tcW w:type="dxa" w:w="4819"/>
            <w:vAlign w:val="center"/>
          </w:tcPr>
          <w:p>
            <w:r>
              <w:t>品牌元素</w:t>
            </w:r>
          </w:p>
        </w:tc>
        <w:tc>
          <w:tcPr>
            <w:tcW w:type="dxa" w:w="4819"/>
            <w:vAlign w:val="center"/>
          </w:tcPr>
          <w:p>
            <w:r>
              <w:t>书页角标、细线批注、铸印式小徽标三选一，保持轻量</w:t>
            </w:r>
          </w:p>
        </w:tc>
      </w:tr>
      <w:tr>
        <w:tc>
          <w:tcPr>
            <w:tcW w:type="dxa" w:w="4819"/>
            <w:vAlign w:val="center"/>
          </w:tcPr>
          <w:p>
            <w:r>
              <w:t>空状态</w:t>
            </w:r>
          </w:p>
        </w:tc>
        <w:tc>
          <w:tcPr>
            <w:tcW w:type="dxa" w:w="4819"/>
            <w:vAlign w:val="center"/>
          </w:tcPr>
          <w:p>
            <w:r>
              <w:t>短标题 + 一句说明 + 一个主要动作；可使用低对比编辑部线稿</w:t>
            </w:r>
          </w:p>
        </w:tc>
      </w:tr>
      <w:tr>
        <w:tc>
          <w:tcPr>
            <w:tcW w:type="dxa" w:w="4819"/>
            <w:vAlign w:val="center"/>
          </w:tcPr>
          <w:p>
            <w:r>
              <w:t>AI标识</w:t>
            </w:r>
          </w:p>
        </w:tc>
        <w:tc>
          <w:tcPr>
            <w:tcW w:type="dxa" w:w="4819"/>
            <w:vAlign w:val="center"/>
          </w:tcPr>
          <w:p>
            <w:r>
              <w:t>统一小型来源徽标，不使用机器人头像、魔法棒大图或闪烁效果</w:t>
            </w:r>
          </w:p>
        </w:tc>
      </w:tr>
      <w:tr>
        <w:tc>
          <w:tcPr>
            <w:tcW w:type="dxa" w:w="4819"/>
            <w:vAlign w:val="center"/>
          </w:tcPr>
          <w:p>
            <w:r>
              <w:t>插图范围</w:t>
            </w:r>
          </w:p>
        </w:tc>
        <w:tc>
          <w:tcPr>
            <w:tcW w:type="dxa" w:w="4819"/>
            <w:vAlign w:val="center"/>
          </w:tcPr>
          <w:p>
            <w:r>
              <w:t>仅启动页、新手向导、空项目和导出完成页；不进入正文编辑背景</w:t>
            </w:r>
          </w:p>
        </w:tc>
      </w:tr>
    </w:tbl>
    <w:p>
      <w:pPr>
        <w:pStyle w:val="Heading2"/>
      </w:pPr>
      <w:r>
        <w:t>19.11 动效与反馈</w:t>
      </w:r>
    </w:p>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4819"/>
            <w:shd w:fill="4D607E"/>
            <w:vAlign w:val="center"/>
          </w:tcPr>
          <w:p>
            <w:r>
              <w:rPr>
                <w:b/>
                <w:color w:val="FFFFFF"/>
              </w:rPr>
              <w:t>动作</w:t>
            </w:r>
          </w:p>
        </w:tc>
        <w:tc>
          <w:tcPr>
            <w:tcW w:type="dxa" w:w="4819"/>
            <w:shd w:fill="4D607E"/>
            <w:vAlign w:val="center"/>
          </w:tcPr>
          <w:p>
            <w:r>
              <w:rPr>
                <w:b/>
                <w:color w:val="FFFFFF"/>
              </w:rPr>
              <w:t>动效规范</w:t>
            </w:r>
          </w:p>
        </w:tc>
      </w:tr>
      <w:tr>
        <w:tc>
          <w:tcPr>
            <w:tcW w:type="dxa" w:w="4819"/>
            <w:vAlign w:val="center"/>
          </w:tcPr>
          <w:p>
            <w:r>
              <w:t>标签切换</w:t>
            </w:r>
          </w:p>
        </w:tc>
        <w:tc>
          <w:tcPr>
            <w:tcW w:type="dxa" w:w="4819"/>
            <w:vAlign w:val="center"/>
          </w:tcPr>
          <w:p>
            <w:r>
              <w:t>120-160ms淡入，不做大幅横向滑动</w:t>
            </w:r>
          </w:p>
        </w:tc>
      </w:tr>
      <w:tr>
        <w:tc>
          <w:tcPr>
            <w:tcW w:type="dxa" w:w="4819"/>
            <w:vAlign w:val="center"/>
          </w:tcPr>
          <w:p>
            <w:r>
              <w:t>侧栏展开</w:t>
            </w:r>
          </w:p>
        </w:tc>
        <w:tc>
          <w:tcPr>
            <w:tcW w:type="dxa" w:w="4819"/>
            <w:vAlign w:val="center"/>
          </w:tcPr>
          <w:p>
            <w:r>
              <w:t>160-200ms，支持减少动态效果设置</w:t>
            </w:r>
          </w:p>
        </w:tc>
      </w:tr>
      <w:tr>
        <w:tc>
          <w:tcPr>
            <w:tcW w:type="dxa" w:w="4819"/>
            <w:vAlign w:val="center"/>
          </w:tcPr>
          <w:p>
            <w:r>
              <w:t>快速改写</w:t>
            </w:r>
          </w:p>
        </w:tc>
        <w:tc>
          <w:tcPr>
            <w:tcW w:type="dxa" w:w="4819"/>
            <w:vAlign w:val="center"/>
          </w:tcPr>
          <w:p>
            <w:r>
              <w:t>原文与新文150ms交叉淡化，应用后局部轻高亮</w:t>
            </w:r>
          </w:p>
        </w:tc>
      </w:tr>
      <w:tr>
        <w:tc>
          <w:tcPr>
            <w:tcW w:type="dxa" w:w="4819"/>
            <w:vAlign w:val="center"/>
          </w:tcPr>
          <w:p>
            <w:r>
              <w:t>候选采用</w:t>
            </w:r>
          </w:p>
        </w:tc>
        <w:tc>
          <w:tcPr>
            <w:tcW w:type="dxa" w:w="4819"/>
            <w:vAlign w:val="center"/>
          </w:tcPr>
          <w:p>
            <w:r>
              <w:t>目标块背景短暂高亮后在600-900ms内消退</w:t>
            </w:r>
          </w:p>
        </w:tc>
      </w:tr>
      <w:tr>
        <w:tc>
          <w:tcPr>
            <w:tcW w:type="dxa" w:w="4819"/>
            <w:vAlign w:val="center"/>
          </w:tcPr>
          <w:p>
            <w:r>
              <w:t>拖拽场景</w:t>
            </w:r>
          </w:p>
        </w:tc>
        <w:tc>
          <w:tcPr>
            <w:tcW w:type="dxa" w:w="4819"/>
            <w:vAlign w:val="center"/>
          </w:tcPr>
          <w:p>
            <w:r>
              <w:t>轻微缩放与阴影，不产生弹跳</w:t>
            </w:r>
          </w:p>
        </w:tc>
      </w:tr>
      <w:tr>
        <w:tc>
          <w:tcPr>
            <w:tcW w:type="dxa" w:w="4819"/>
            <w:vAlign w:val="center"/>
          </w:tcPr>
          <w:p>
            <w:r>
              <w:t>保存反馈</w:t>
            </w:r>
          </w:p>
        </w:tc>
        <w:tc>
          <w:tcPr>
            <w:tcW w:type="dxa" w:w="4819"/>
            <w:vAlign w:val="center"/>
          </w:tcPr>
          <w:p>
            <w:r>
              <w:t>文字状态变化，不弹成功Toast</w:t>
            </w:r>
          </w:p>
        </w:tc>
      </w:tr>
      <w:tr>
        <w:tc>
          <w:tcPr>
            <w:tcW w:type="dxa" w:w="4819"/>
            <w:vAlign w:val="center"/>
          </w:tcPr>
          <w:p>
            <w:r>
              <w:t>错误反馈</w:t>
            </w:r>
          </w:p>
        </w:tc>
        <w:tc>
          <w:tcPr>
            <w:tcW w:type="dxa" w:w="4819"/>
            <w:vAlign w:val="center"/>
          </w:tcPr>
          <w:p>
            <w:r>
              <w:t>不抖动、不闪烁；使用清晰文字和定位按钮</w:t>
            </w:r>
          </w:p>
        </w:tc>
      </w:tr>
    </w:tbl>
    <w:p>
      <w:pPr>
        <w:pStyle w:val="ListBullet"/>
      </w:pPr>
      <w:r>
        <w:t>禁止发光、持续呼吸、粒子、彩色扫描线和大范围弹性动画。</w:t>
      </w:r>
    </w:p>
    <w:p>
      <w:pPr>
        <w:pStyle w:val="ListBullet"/>
      </w:pPr>
      <w:r>
        <w:t>系统设置必须支持“减少动态效果”；启用后将过渡缩短或移除。</w:t>
      </w:r>
    </w:p>
    <w:p>
      <w:pPr>
        <w:pStyle w:val="Heading2"/>
      </w:pPr>
      <w:r>
        <w:t>19.12 窗口尺寸与响应规则</w:t>
      </w:r>
    </w:p>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4819"/>
            <w:shd w:fill="4D607E"/>
            <w:vAlign w:val="center"/>
          </w:tcPr>
          <w:p>
            <w:r>
              <w:rPr>
                <w:b/>
                <w:color w:val="FFFFFF"/>
              </w:rPr>
              <w:t>窗口宽度</w:t>
            </w:r>
          </w:p>
        </w:tc>
        <w:tc>
          <w:tcPr>
            <w:tcW w:type="dxa" w:w="4819"/>
            <w:shd w:fill="4D607E"/>
            <w:vAlign w:val="center"/>
          </w:tcPr>
          <w:p>
            <w:r>
              <w:rPr>
                <w:b/>
                <w:color w:val="FFFFFF"/>
              </w:rPr>
              <w:t>布局行为</w:t>
            </w:r>
          </w:p>
        </w:tc>
      </w:tr>
      <w:tr>
        <w:tc>
          <w:tcPr>
            <w:tcW w:type="dxa" w:w="4819"/>
            <w:vAlign w:val="center"/>
          </w:tcPr>
          <w:p>
            <w:r>
              <w:t>≥1440px</w:t>
            </w:r>
          </w:p>
        </w:tc>
        <w:tc>
          <w:tcPr>
            <w:tcW w:type="dxa" w:w="4819"/>
            <w:vAlign w:val="center"/>
          </w:tcPr>
          <w:p>
            <w:r>
              <w:t>完整三栏；正文标准宽度；右栏320-360px</w:t>
            </w:r>
          </w:p>
        </w:tc>
      </w:tr>
      <w:tr>
        <w:tc>
          <w:tcPr>
            <w:tcW w:type="dxa" w:w="4819"/>
            <w:vAlign w:val="center"/>
          </w:tcPr>
          <w:p>
            <w:r>
              <w:t>1100-1439px</w:t>
            </w:r>
          </w:p>
        </w:tc>
        <w:tc>
          <w:tcPr>
            <w:tcW w:type="dxa" w:w="4819"/>
            <w:vAlign w:val="center"/>
          </w:tcPr>
          <w:p>
            <w:r>
              <w:t>三栏保留，右栏缩窄；次要说明折叠</w:t>
            </w:r>
          </w:p>
        </w:tc>
      </w:tr>
      <w:tr>
        <w:tc>
          <w:tcPr>
            <w:tcW w:type="dxa" w:w="4819"/>
            <w:vAlign w:val="center"/>
          </w:tcPr>
          <w:p>
            <w:r>
              <w:t>900-1099px</w:t>
            </w:r>
          </w:p>
        </w:tc>
        <w:tc>
          <w:tcPr>
            <w:tcW w:type="dxa" w:w="4819"/>
            <w:vAlign w:val="center"/>
          </w:tcPr>
          <w:p>
            <w:r>
              <w:t>左栏缩为图标/抽屉，右栏单标签抽屉；正文优先</w:t>
            </w:r>
          </w:p>
        </w:tc>
      </w:tr>
      <w:tr>
        <w:tc>
          <w:tcPr>
            <w:tcW w:type="dxa" w:w="4819"/>
            <w:vAlign w:val="center"/>
          </w:tcPr>
          <w:p>
            <w:r>
              <w:t>&lt;900px</w:t>
            </w:r>
          </w:p>
        </w:tc>
        <w:tc>
          <w:tcPr>
            <w:tcW w:type="dxa" w:w="4819"/>
            <w:vAlign w:val="center"/>
          </w:tcPr>
          <w:p>
            <w:r>
              <w:t>不作为v1主要工作尺寸；提供可用但不承诺完整专业布局</w:t>
            </w:r>
          </w:p>
        </w:tc>
      </w:tr>
    </w:tbl>
    <w:p>
      <w:pPr>
        <w:pStyle w:val="Heading2"/>
      </w:pPr>
      <w:r>
        <w:t>19.13 高保真原型与视觉验收</w:t>
      </w:r>
    </w:p>
    <w:tbl>
      <w:tblPr>
        <w:tblStyle w:val="LightShading-Accent1"/>
        <w:tblW w:type="auto" w:w="0"/>
        <w:jc w:val="center"/>
        <w:tblLook w:firstColumn="1" w:firstRow="1" w:lastColumn="0" w:lastRow="0" w:noHBand="0" w:noVBand="1" w:val="04A0"/>
      </w:tblPr>
      <w:tblGrid>
        <w:gridCol w:w="4819"/>
        <w:gridCol w:w="4819"/>
      </w:tblGrid>
      <w:tr>
        <w:trPr>
          <w:tblHeader w:val="true"/>
        </w:trPr>
        <w:tc>
          <w:tcPr>
            <w:tcW w:type="dxa" w:w="4819"/>
            <w:shd w:fill="4D607E"/>
            <w:vAlign w:val="center"/>
          </w:tcPr>
          <w:p>
            <w:r>
              <w:rPr>
                <w:b/>
                <w:color w:val="FFFFFF"/>
              </w:rPr>
              <w:t>编号</w:t>
            </w:r>
          </w:p>
        </w:tc>
        <w:tc>
          <w:tcPr>
            <w:tcW w:type="dxa" w:w="4819"/>
            <w:shd w:fill="4D607E"/>
            <w:vAlign w:val="center"/>
          </w:tcPr>
          <w:p>
            <w:r>
              <w:rPr>
                <w:b/>
                <w:color w:val="FFFFFF"/>
              </w:rPr>
              <w:t>验收标准</w:t>
            </w:r>
          </w:p>
        </w:tc>
      </w:tr>
      <w:tr>
        <w:tc>
          <w:tcPr>
            <w:tcW w:type="dxa" w:w="4819"/>
            <w:vAlign w:val="center"/>
          </w:tcPr>
          <w:p>
            <w:r>
              <w:t>VIS-01</w:t>
            </w:r>
          </w:p>
        </w:tc>
        <w:tc>
          <w:tcPr>
            <w:tcW w:type="dxa" w:w="4819"/>
            <w:vAlign w:val="center"/>
          </w:tcPr>
          <w:p>
            <w:r>
              <w:t>写作工作台在30分钟连续使用后，作者能保持正文为视觉焦点，不被AI与校验面板持续吸引。</w:t>
            </w:r>
          </w:p>
        </w:tc>
      </w:tr>
      <w:tr>
        <w:tc>
          <w:tcPr>
            <w:tcW w:type="dxa" w:w="4819"/>
            <w:vAlign w:val="center"/>
          </w:tcPr>
          <w:p>
            <w:r>
              <w:t>VIS-02</w:t>
            </w:r>
          </w:p>
        </w:tc>
        <w:tc>
          <w:tcPr>
            <w:tcW w:type="dxa" w:w="4819"/>
            <w:vAlign w:val="center"/>
          </w:tcPr>
          <w:p>
            <w:r>
              <w:t>当前稿与AI稿颜色只表达来源，不使80%以上测试者认为绿色一侧“更正确”。</w:t>
            </w:r>
          </w:p>
        </w:tc>
      </w:tr>
      <w:tr>
        <w:tc>
          <w:tcPr>
            <w:tcW w:type="dxa" w:w="4819"/>
            <w:vAlign w:val="center"/>
          </w:tcPr>
          <w:p>
            <w:r>
              <w:t>VIS-03</w:t>
            </w:r>
          </w:p>
        </w:tc>
        <w:tc>
          <w:tcPr>
            <w:tcW w:type="dxa" w:w="4819"/>
            <w:vAlign w:val="center"/>
          </w:tcPr>
          <w:p>
            <w:r>
              <w:t>浅色模式正文区域在默认亮度下无明显刺眼感，深色模式不出现低对比灰字。</w:t>
            </w:r>
          </w:p>
        </w:tc>
      </w:tr>
      <w:tr>
        <w:tc>
          <w:tcPr>
            <w:tcW w:type="dxa" w:w="4819"/>
            <w:vAlign w:val="center"/>
          </w:tcPr>
          <w:p>
            <w:r>
              <w:t>VIS-04</w:t>
            </w:r>
          </w:p>
        </w:tc>
        <w:tc>
          <w:tcPr>
            <w:tcW w:type="dxa" w:w="4819"/>
            <w:vAlign w:val="center"/>
          </w:tcPr>
          <w:p>
            <w:r>
              <w:t>普通设置项至少70%使用轻分组而非独立卡片，页面不呈现后台仪表盘感。</w:t>
            </w:r>
          </w:p>
        </w:tc>
      </w:tr>
      <w:tr>
        <w:tc>
          <w:tcPr>
            <w:tcW w:type="dxa" w:w="4819"/>
            <w:vAlign w:val="center"/>
          </w:tcPr>
          <w:p>
            <w:r>
              <w:t>VIS-05</w:t>
            </w:r>
          </w:p>
        </w:tc>
        <w:tc>
          <w:tcPr>
            <w:tcW w:type="dxa" w:w="4819"/>
            <w:vAlign w:val="center"/>
          </w:tcPr>
          <w:p>
            <w:r>
              <w:t>保存成功、生成完成和候选采用不产生重复Toast；P0安全问题仍能被立即识别。</w:t>
            </w:r>
          </w:p>
        </w:tc>
      </w:tr>
      <w:tr>
        <w:tc>
          <w:tcPr>
            <w:tcW w:type="dxa" w:w="4819"/>
            <w:vAlign w:val="center"/>
          </w:tcPr>
          <w:p>
            <w:r>
              <w:t>VIS-06</w:t>
            </w:r>
          </w:p>
        </w:tc>
        <w:tc>
          <w:tcPr>
            <w:tcW w:type="dxa" w:w="4819"/>
            <w:vAlign w:val="center"/>
          </w:tcPr>
          <w:p>
            <w:r>
              <w:t>新手在不阅读帮助文档的情况下理解向导当前问题、跳过和下一步。</w:t>
            </w:r>
          </w:p>
        </w:tc>
      </w:tr>
      <w:tr>
        <w:tc>
          <w:tcPr>
            <w:tcW w:type="dxa" w:w="4819"/>
            <w:vAlign w:val="center"/>
          </w:tcPr>
          <w:p>
            <w:r>
              <w:t>VIS-07</w:t>
            </w:r>
          </w:p>
        </w:tc>
        <w:tc>
          <w:tcPr>
            <w:tcW w:type="dxa" w:w="4819"/>
            <w:vAlign w:val="center"/>
          </w:tcPr>
          <w:p>
            <w:r>
              <w:t>候选稿长文本左右滚动同步稳定，解除同步后不影响单侧阅读。</w:t>
            </w:r>
          </w:p>
        </w:tc>
      </w:tr>
      <w:tr>
        <w:tc>
          <w:tcPr>
            <w:tcW w:type="dxa" w:w="4819"/>
            <w:vAlign w:val="center"/>
          </w:tcPr>
          <w:p>
            <w:r>
              <w:t>VIS-08</w:t>
            </w:r>
          </w:p>
        </w:tc>
        <w:tc>
          <w:tcPr>
            <w:tcW w:type="dxa" w:w="4819"/>
            <w:vAlign w:val="center"/>
          </w:tcPr>
          <w:p>
            <w:r>
              <w:t>所有动效在“减少动态效果”设置开启后可被关闭或缩短。</w:t>
            </w:r>
          </w:p>
        </w:tc>
      </w:tr>
      <w:tr>
        <w:tc>
          <w:tcPr>
            <w:tcW w:type="dxa" w:w="4819"/>
            <w:vAlign w:val="center"/>
          </w:tcPr>
          <w:p>
            <w:pPr>
              <w:spacing w:after="0"/>
            </w:pPr>
            <w:r/>
            <w:r>
              <w:rPr>
                <w:b w:val="0"/>
              </w:rPr>
              <w:t>VIS-09</w:t>
            </w:r>
          </w:p>
        </w:tc>
        <w:tc>
          <w:tcPr>
            <w:tcW w:type="dxa" w:w="4819"/>
            <w:vAlign w:val="center"/>
          </w:tcPr>
          <w:p>
            <w:pPr>
              <w:spacing w:after="0"/>
            </w:pPr>
            <w:r/>
            <w:r>
              <w:rPr>
                <w:b w:val="0"/>
              </w:rPr>
              <w:t>锁定块使用细线、边缘锁图标或同等低干扰方式表达；不以大面积背景长期占据注意力。</w:t>
            </w:r>
          </w:p>
        </w:tc>
      </w:tr>
      <w:tr>
        <w:tc>
          <w:tcPr>
            <w:tcW w:type="dxa" w:w="4819"/>
            <w:vAlign w:val="center"/>
          </w:tcPr>
          <w:p>
            <w:pPr>
              <w:spacing w:after="0"/>
            </w:pPr>
            <w:r/>
            <w:r>
              <w:rPr>
                <w:b w:val="0"/>
              </w:rPr>
              <w:t>VIS-10</w:t>
            </w:r>
          </w:p>
        </w:tc>
        <w:tc>
          <w:tcPr>
            <w:tcW w:type="dxa" w:w="4819"/>
            <w:vAlign w:val="center"/>
          </w:tcPr>
          <w:p>
            <w:pPr>
              <w:spacing w:after="0"/>
            </w:pPr>
            <w:r/>
            <w:r>
              <w:rPr>
                <w:b w:val="0"/>
              </w:rPr>
              <w:t>沉浸写作视图中正文占据绝对视觉中心，除P0安全错误外不出现常驻高强调提示。</w:t>
            </w:r>
          </w:p>
        </w:tc>
      </w:tr>
      <w:tr>
        <w:tc>
          <w:tcPr>
            <w:tcW w:type="dxa" w:w="4819"/>
            <w:vAlign w:val="center"/>
          </w:tcPr>
          <w:p>
            <w:pPr>
              <w:spacing w:after="0"/>
            </w:pPr>
            <w:r/>
            <w:r>
              <w:rPr>
                <w:b w:val="0"/>
              </w:rPr>
              <w:t>VIS-11</w:t>
            </w:r>
          </w:p>
        </w:tc>
        <w:tc>
          <w:tcPr>
            <w:tcW w:type="dxa" w:w="4819"/>
            <w:vAlign w:val="center"/>
          </w:tcPr>
          <w:p>
            <w:pPr>
              <w:spacing w:after="0"/>
            </w:pPr>
            <w:r/>
            <w:r>
              <w:rPr>
                <w:b w:val="0"/>
              </w:rPr>
              <w:t>AI进度使用文字阶段和轻量进度反馈，不使用无意义循环步骤、虚假百分比或无法解释的倒计时。</w:t>
            </w:r>
          </w:p>
        </w:tc>
      </w:tr>
      <w:tr>
        <w:tc>
          <w:tcPr>
            <w:tcW w:type="dxa" w:w="4819"/>
            <w:vAlign w:val="center"/>
          </w:tcPr>
          <w:p>
            <w:pPr>
              <w:spacing w:after="0"/>
            </w:pPr>
            <w:r/>
            <w:r>
              <w:rPr>
                <w:b w:val="0"/>
              </w:rPr>
              <w:t>VIS-12</w:t>
            </w:r>
          </w:p>
        </w:tc>
        <w:tc>
          <w:tcPr>
            <w:tcW w:type="dxa" w:w="4819"/>
            <w:vAlign w:val="center"/>
          </w:tcPr>
          <w:p>
            <w:pPr>
              <w:spacing w:after="0"/>
            </w:pPr>
            <w:r/>
            <w:r>
              <w:rPr>
                <w:b w:val="0"/>
              </w:rPr>
              <w:t>帮助提示在悬停、首次出现和页面帮助三个层级中保持统一样式，不形成气泡与Toast堆叠。</w:t>
            </w:r>
          </w:p>
        </w:tc>
      </w:tr>
    </w:tbl>
    <w:p>
      <w:pPr>
        <w:pStyle w:val="ListNumber"/>
      </w:pPr>
      <w:r>
        <w:t>先制作写作工作台、新手向导、候选对比三套高保真可点击原型。</w:t>
      </w:r>
    </w:p>
    <w:p>
      <w:pPr>
        <w:pStyle w:val="ListNumber"/>
      </w:pPr>
      <w:r>
        <w:t>分别邀请3-5名小白作者和3-5名长篇作者完成核心任务。</w:t>
      </w:r>
    </w:p>
    <w:p>
      <w:pPr>
        <w:pStyle w:val="ListNumber"/>
      </w:pPr>
      <w:r>
        <w:t>记录首次完成时间、误点、停顿、是否需要解释、视觉疲劳和页面偏好。</w:t>
      </w:r>
    </w:p>
    <w:p>
      <w:pPr>
        <w:pStyle w:val="ListNumber"/>
      </w:pPr>
      <w:r>
        <w:t>未通过VIS-01至VIS-08前，不进入全量页面视觉开发。</w:t>
      </w:r>
    </w:p>
    <w:p>
      <w:pPr>
        <w:pStyle w:val="Heading2"/>
      </w:pPr>
      <w:r>
        <w:t>19.14 视觉反模式</w:t>
      </w:r>
    </w:p>
    <w:p>
      <w:pPr>
        <w:pStyle w:val="ListBullet"/>
      </w:pPr>
      <w:r>
        <w:t>不得把AI能力包装成比作者正文更高权重的中心入口。</w:t>
      </w:r>
    </w:p>
    <w:p>
      <w:pPr>
        <w:pStyle w:val="ListBullet"/>
      </w:pPr>
      <w:r>
        <w:t>不得用绿色、奖杯、评分环或进度满格暗示AI候选质量优于作者判断。</w:t>
      </w:r>
    </w:p>
    <w:p>
      <w:pPr>
        <w:pStyle w:val="ListBullet"/>
      </w:pPr>
      <w:r>
        <w:t>不得为每个信息区创建卡片、圆角、阴影和强调色。</w:t>
      </w:r>
    </w:p>
    <w:p>
      <w:pPr>
        <w:pStyle w:val="ListBullet"/>
      </w:pPr>
      <w:r>
        <w:t>不得在正文背景加入纹理、插画、水印或持续动效。</w:t>
      </w:r>
    </w:p>
    <w:p>
      <w:pPr>
        <w:pStyle w:val="ListBullet"/>
      </w:pPr>
      <w:r>
        <w:t>不得用大量数据仪表盘评价文学质量。</w:t>
      </w:r>
    </w:p>
    <w:p>
      <w:pPr>
        <w:pStyle w:val="ListBullet"/>
      </w:pPr>
      <w:r>
        <w:t>不得在普通成功操作后连续弹出Toast、弹窗或庆祝动画。</w:t>
      </w:r>
    </w:p>
    <w:p>
      <w:pPr>
        <w:pStyle w:val="Heading2"/>
      </w:pPr>
      <w:r>
        <w:t>19.15 视觉设计Definition of Done</w:t>
      </w:r>
    </w:p>
    <w:p>
      <w:pPr>
        <w:pStyle w:val="ListBullet"/>
      </w:pPr>
      <w:r>
        <w:t>设计Token集中定义，浅色和深色主题均有完整语义映射。</w:t>
      </w:r>
    </w:p>
    <w:p>
      <w:pPr>
        <w:pStyle w:val="ListBullet"/>
      </w:pPr>
      <w:r>
        <w:t>写作工作台、新手向导、候选对比、状态提案、冲突处理、设置、恢复和导入均有高保真稿。</w:t>
      </w:r>
    </w:p>
    <w:p>
      <w:pPr>
        <w:pStyle w:val="ListBullet"/>
      </w:pPr>
      <w:r>
        <w:t>主要页面的空状态、加载状态、失败状态、禁用状态和键盘焦点状态均已设计。</w:t>
      </w:r>
    </w:p>
    <w:p>
      <w:pPr>
        <w:pStyle w:val="ListBullet"/>
      </w:pPr>
      <w:r>
        <w:t>组件在正常、悬停、按下、选中、禁用、错误和键盘聚焦状态下表现一致。</w:t>
      </w:r>
    </w:p>
    <w:p>
      <w:pPr>
        <w:pStyle w:val="ListBullet"/>
      </w:pPr>
      <w:r>
        <w:t>通过视觉验收、无障碍对比度检查和真实作者任务测试。</w:t>
      </w:r>
    </w:p>
    <w:p>
      <w:pPr>
        <w:pStyle w:val="ListBullet"/>
      </w:pPr>
      <w:r>
        <w:t>所有示例内容保持中性，不引用任何用户作品、人物、世界观或私人创作信息。</w:t>
      </w:r>
    </w:p>
    <w:sectPr w:rsidR="00FC693F" w:rsidRPr="0006063C" w:rsidSect="00034616">
      <w:headerReference w:type="default" r:id="rId9"/>
      <w:footerReference w:type="default" r:id="rId10"/>
      <w:headerReference w:type="first" r:id="rId29"/>
      <w:headerReference w:type="even" r:id="rId30"/>
      <w:footerReference w:type="first" r:id="rId31"/>
      <w:footerReference w:type="even" r:id="rId32"/>
      <w:pgSz w:w="11906" w:h="16838"/>
      <w:pgMar w:top="1077" w:right="1134" w:bottom="1020" w:left="1134" w:header="454" w:footer="454" w:gutter="0"/>
      <w:cols w:space="720"/>
      <w:docGrid w:linePitch="360"/>
    </w:sectPr>
    <w:p>
      <w:r>
        <w:br w:type="page"/>
      </w:r>
    </w:p>
    <w:p>
      <w:pPr>
        <w:pStyle w:val="Heading1"/>
      </w:pPr>
      <w:r>
        <w:t>20. AI质量与日常写作体验冻结</w:t>
      </w:r>
    </w:p>
    <w:p>
      <w:r>
        <w:t>本章将双视角体验评估中可采纳的建议转化为v1强制规格。范围仅限AI质量、候选审阅、回退、帮助、沉浸写作与运行反馈，不增加云服务、平台发布、社区、插件市场或复杂游戏化。</w:t>
      </w:r>
    </w:p>
    <w:p>
      <w:pPr>
        <w:pStyle w:val="Heading2"/>
      </w:pPr>
      <w:r>
        <w:t>20.1 采纳边界与优先级</w:t>
      </w:r>
    </w:p>
    <w:tbl>
      <w:tblPr>
        <w:tblW w:type="auto" w:w="0"/>
        <w:jc w:val="center"/>
        <w:tblLook w:firstColumn="1" w:firstRow="1" w:lastColumn="0" w:lastRow="0" w:noHBand="0" w:noVBand="1" w:val="04A0"/>
      </w:tblPr>
      <w:tblGrid>
        <w:gridCol w:w="3213"/>
        <w:gridCol w:w="3213"/>
        <w:gridCol w:w="3213"/>
      </w:tblGrid>
      <w:tr>
        <w:trPr>
          <w:tblHeader w:val="true"/>
        </w:trPr>
        <w:tc>
          <w:tcPr>
            <w:tcW w:type="dxa" w:w="1440"/>
            <w:vAlign w:val="center"/>
          </w:tcPr>
          <w:p>
            <w:pPr>
              <w:spacing w:after="0"/>
            </w:pPr>
            <w:r/>
            <w:r>
              <w:rPr>
                <w:b/>
              </w:rPr>
              <w:t>级别</w:t>
            </w:r>
          </w:p>
        </w:tc>
        <w:tc>
          <w:tcPr>
            <w:tcW w:type="dxa" w:w="4320"/>
            <w:vAlign w:val="center"/>
          </w:tcPr>
          <w:p>
            <w:pPr>
              <w:spacing w:after="0"/>
            </w:pPr>
            <w:r/>
            <w:r>
              <w:rPr>
                <w:b/>
              </w:rPr>
              <w:t>纳入内容</w:t>
            </w:r>
          </w:p>
        </w:tc>
        <w:tc>
          <w:tcPr>
            <w:tcW w:type="dxa" w:w="3744"/>
            <w:vAlign w:val="center"/>
          </w:tcPr>
          <w:p>
            <w:pPr>
              <w:spacing w:after="0"/>
            </w:pPr>
            <w:r/>
            <w:r>
              <w:rPr>
                <w:b/>
              </w:rPr>
              <w:t>明确不纳入</w:t>
            </w:r>
          </w:p>
        </w:tc>
      </w:tr>
      <w:tr>
        <w:tc>
          <w:tcPr>
            <w:tcW w:type="dxa" w:w="1440"/>
            <w:vAlign w:val="center"/>
          </w:tcPr>
          <w:p>
            <w:pPr>
              <w:spacing w:after="0"/>
            </w:pPr>
            <w:r/>
            <w:r>
              <w:rPr>
                <w:b w:val="0"/>
              </w:rPr>
              <w:t>V1 P0</w:t>
            </w:r>
          </w:p>
        </w:tc>
        <w:tc>
          <w:tcPr>
            <w:tcW w:type="dxa" w:w="4320"/>
            <w:vAlign w:val="center"/>
          </w:tcPr>
          <w:p>
            <w:pPr>
              <w:spacing w:after="0"/>
            </w:pPr>
            <w:r/>
            <w:r>
              <w:rPr>
                <w:b w:val="0"/>
              </w:rPr>
              <w:t>T0/T1 Eval、采用后撤销、全屏候选、锁定视觉、真实阶段进度、上下文帮助、沉浸写作、确定性AI建议</w:t>
            </w:r>
          </w:p>
        </w:tc>
        <w:tc>
          <w:tcPr>
            <w:tcW w:type="dxa" w:w="3744"/>
            <w:vAlign w:val="center"/>
          </w:tcPr>
          <w:p>
            <w:pPr>
              <w:spacing w:after="0"/>
            </w:pPr>
            <w:r/>
            <w:r>
              <w:rPr>
                <w:b w:val="0"/>
              </w:rPr>
              <w:t>不等待运营数据，不依赖云端服务</w:t>
            </w:r>
          </w:p>
        </w:tc>
      </w:tr>
      <w:tr>
        <w:tc>
          <w:tcPr>
            <w:tcW w:type="dxa" w:w="1440"/>
            <w:vAlign w:val="center"/>
          </w:tcPr>
          <w:p>
            <w:pPr>
              <w:spacing w:after="0"/>
            </w:pPr>
            <w:r/>
            <w:r>
              <w:rPr>
                <w:b w:val="0"/>
              </w:rPr>
              <w:t>V1 P1</w:t>
            </w:r>
          </w:p>
        </w:tc>
        <w:tc>
          <w:tcPr>
            <w:tcW w:type="dxa" w:w="4320"/>
            <w:vAlign w:val="center"/>
          </w:tcPr>
          <w:p>
            <w:pPr>
              <w:spacing w:after="0"/>
            </w:pPr>
            <w:r/>
            <w:r>
              <w:rPr>
                <w:b w:val="0"/>
              </w:rPr>
              <w:t>自定义快捷键、打字机模式、高对比主题、三栏冲突高级视图、轻量里程碑、长候选导航增强</w:t>
            </w:r>
          </w:p>
        </w:tc>
        <w:tc>
          <w:tcPr>
            <w:tcW w:type="dxa" w:w="3744"/>
            <w:vAlign w:val="center"/>
          </w:tcPr>
          <w:p>
            <w:pPr>
              <w:spacing w:after="0"/>
            </w:pPr>
            <w:r/>
            <w:r>
              <w:rPr>
                <w:b w:val="0"/>
              </w:rPr>
              <w:t>不阻断v1发布</w:t>
            </w:r>
          </w:p>
        </w:tc>
      </w:tr>
      <w:tr>
        <w:tc>
          <w:tcPr>
            <w:tcW w:type="dxa" w:w="1440"/>
            <w:vAlign w:val="center"/>
          </w:tcPr>
          <w:p>
            <w:pPr>
              <w:spacing w:after="0"/>
            </w:pPr>
            <w:r/>
            <w:r>
              <w:rPr>
                <w:b w:val="0"/>
              </w:rPr>
              <w:t>排除</w:t>
            </w:r>
          </w:p>
        </w:tc>
        <w:tc>
          <w:tcPr>
            <w:tcW w:type="dxa" w:w="4320"/>
            <w:vAlign w:val="center"/>
          </w:tcPr>
          <w:p>
            <w:pPr>
              <w:spacing w:after="0"/>
            </w:pPr>
            <w:r/>
            <w:r>
              <w:rPr>
                <w:b w:val="0"/>
              </w:rPr>
              <w:t>仅保留本地导出和项目备份</w:t>
            </w:r>
          </w:p>
        </w:tc>
        <w:tc>
          <w:tcPr>
            <w:tcW w:type="dxa" w:w="3744"/>
            <w:vAlign w:val="center"/>
          </w:tcPr>
          <w:p>
            <w:pPr>
              <w:spacing w:after="0"/>
            </w:pPr>
            <w:r/>
            <w:r>
              <w:rPr>
                <w:b w:val="0"/>
              </w:rPr>
              <w:t>一键平台发布、云同步、社区模板市场、完整成就系统、背景图片和环境声音、插件市场</w:t>
            </w:r>
          </w:p>
        </w:tc>
      </w:tr>
    </w:tbl>
    <w:p>
      <w:pPr>
        <w:pStyle w:val="Heading2"/>
      </w:pPr>
      <w:r>
        <w:t>20.2 T0/T1本地评测与发布门槛</w:t>
      </w:r>
    </w:p>
    <w:p>
      <w:r>
        <w:t>T0/T1不因接口返回成功而视为功能完成。每个支持的默认模型配置必须在本地固定评测集上通过结构、连续性和约束执行测试。</w:t>
      </w:r>
    </w:p>
    <w:p>
      <w:r>
        <w:t>评测集仅保存在本机仓库或测试资源中，使用中性虚构样本，不包含用户真实作品。模型、Prompt、Schema、检索排序或解析逻辑变化后必须执行同一组回归。</w:t>
      </w:r>
    </w:p>
    <w:p>
      <w:r>
        <w:t>未达到门槛时，软件仍允许自主写作、局部辅助和导出，但不得把未达标模型标记为“推荐用于整章生成”。</w:t>
      </w:r>
    </w:p>
    <w:tbl>
      <w:tblPr>
        <w:tblW w:type="auto" w:w="0"/>
        <w:jc w:val="center"/>
        <w:tblLook w:firstColumn="1" w:firstRow="1" w:lastColumn="0" w:lastRow="0" w:noHBand="0" w:noVBand="1" w:val="04A0"/>
      </w:tblPr>
      <w:tblGrid>
        <w:gridCol w:w="3213"/>
        <w:gridCol w:w="3213"/>
        <w:gridCol w:w="3213"/>
      </w:tblGrid>
      <w:tr>
        <w:trPr>
          <w:tblHeader w:val="true"/>
        </w:trPr>
        <w:tc>
          <w:tcPr>
            <w:tcW w:type="dxa" w:w="1584"/>
            <w:vAlign w:val="center"/>
          </w:tcPr>
          <w:p>
            <w:pPr>
              <w:spacing w:after="0"/>
            </w:pPr>
            <w:r/>
            <w:r>
              <w:rPr>
                <w:b/>
              </w:rPr>
              <w:t>评测组</w:t>
            </w:r>
          </w:p>
        </w:tc>
        <w:tc>
          <w:tcPr>
            <w:tcW w:type="dxa" w:w="4608"/>
            <w:vAlign w:val="center"/>
          </w:tcPr>
          <w:p>
            <w:pPr>
              <w:spacing w:after="0"/>
            </w:pPr>
            <w:r/>
            <w:r>
              <w:rPr>
                <w:b/>
              </w:rPr>
              <w:t>覆盖内容</w:t>
            </w:r>
          </w:p>
        </w:tc>
        <w:tc>
          <w:tcPr>
            <w:tcW w:type="dxa" w:w="3312"/>
            <w:vAlign w:val="center"/>
          </w:tcPr>
          <w:p>
            <w:pPr>
              <w:spacing w:after="0"/>
            </w:pPr>
            <w:r/>
            <w:r>
              <w:rPr>
                <w:b/>
              </w:rPr>
              <w:t>核心输出</w:t>
            </w:r>
          </w:p>
        </w:tc>
      </w:tr>
      <w:tr>
        <w:tc>
          <w:tcPr>
            <w:tcW w:type="dxa" w:w="1584"/>
            <w:vAlign w:val="center"/>
          </w:tcPr>
          <w:p>
            <w:pPr>
              <w:spacing w:after="0"/>
            </w:pPr>
            <w:r/>
            <w:r>
              <w:rPr>
                <w:b w:val="0"/>
              </w:rPr>
              <w:t>T0结构</w:t>
            </w:r>
          </w:p>
        </w:tc>
        <w:tc>
          <w:tcPr>
            <w:tcW w:type="dxa" w:w="4608"/>
            <w:vAlign w:val="center"/>
          </w:tcPr>
          <w:p>
            <w:pPr>
              <w:spacing w:after="0"/>
            </w:pPr>
            <w:r/>
            <w:r>
              <w:rPr>
                <w:b w:val="0"/>
              </w:rPr>
              <w:t>必选节拍、核心事件、因果、禁止信息、结尾钩子、候选差异</w:t>
            </w:r>
          </w:p>
        </w:tc>
        <w:tc>
          <w:tcPr>
            <w:tcW w:type="dxa" w:w="3312"/>
            <w:vAlign w:val="center"/>
          </w:tcPr>
          <w:p>
            <w:pPr>
              <w:spacing w:after="0"/>
            </w:pPr>
            <w:r/>
            <w:r>
              <w:rPr>
                <w:b w:val="0"/>
              </w:rPr>
              <w:t>结构化骨架与逐项通过/失败证据</w:t>
            </w:r>
          </w:p>
        </w:tc>
      </w:tr>
      <w:tr>
        <w:tc>
          <w:tcPr>
            <w:tcW w:type="dxa" w:w="1584"/>
            <w:vAlign w:val="center"/>
          </w:tcPr>
          <w:p>
            <w:pPr>
              <w:spacing w:after="0"/>
            </w:pPr>
            <w:r/>
            <w:r>
              <w:rPr>
                <w:b w:val="0"/>
              </w:rPr>
              <w:t>T1扩写</w:t>
            </w:r>
          </w:p>
        </w:tc>
        <w:tc>
          <w:tcPr>
            <w:tcW w:type="dxa" w:w="4608"/>
            <w:vAlign w:val="center"/>
          </w:tcPr>
          <w:p>
            <w:pPr>
              <w:spacing w:after="0"/>
            </w:pPr>
            <w:r/>
            <w:r>
              <w:rPr>
                <w:b w:val="0"/>
              </w:rPr>
              <w:t>骨架忠实度、场景字数、人物状态、设定冲突、重复解释</w:t>
            </w:r>
          </w:p>
        </w:tc>
        <w:tc>
          <w:tcPr>
            <w:tcW w:type="dxa" w:w="3312"/>
            <w:vAlign w:val="center"/>
          </w:tcPr>
          <w:p>
            <w:pPr>
              <w:spacing w:after="0"/>
            </w:pPr>
            <w:r/>
            <w:r>
              <w:rPr>
                <w:b w:val="0"/>
              </w:rPr>
              <w:t>正文Candidate、覆盖报告和冲突证据</w:t>
            </w:r>
          </w:p>
        </w:tc>
      </w:tr>
      <w:tr>
        <w:tc>
          <w:tcPr>
            <w:tcW w:type="dxa" w:w="1584"/>
            <w:vAlign w:val="center"/>
          </w:tcPr>
          <w:p>
            <w:pPr>
              <w:spacing w:after="0"/>
            </w:pPr>
            <w:r/>
            <w:r>
              <w:rPr>
                <w:b w:val="0"/>
              </w:rPr>
              <w:t>连续性</w:t>
            </w:r>
          </w:p>
        </w:tc>
        <w:tc>
          <w:tcPr>
            <w:tcW w:type="dxa" w:w="4608"/>
            <w:vAlign w:val="center"/>
          </w:tcPr>
          <w:p>
            <w:pPr>
              <w:spacing w:after="0"/>
            </w:pPr>
            <w:r/>
            <w:r>
              <w:rPr>
                <w:b w:val="0"/>
              </w:rPr>
              <w:t>前章尾状态、人物位置、物品、知情信息和时间顺序</w:t>
            </w:r>
          </w:p>
        </w:tc>
        <w:tc>
          <w:tcPr>
            <w:tcW w:type="dxa" w:w="3312"/>
            <w:vAlign w:val="center"/>
          </w:tcPr>
          <w:p>
            <w:pPr>
              <w:spacing w:after="0"/>
            </w:pPr>
            <w:r/>
            <w:r>
              <w:rPr>
                <w:b w:val="0"/>
              </w:rPr>
              <w:t>风险问题及正文/设定锚点</w:t>
            </w:r>
          </w:p>
        </w:tc>
      </w:tr>
      <w:tr>
        <w:tc>
          <w:tcPr>
            <w:tcW w:type="dxa" w:w="1584"/>
            <w:vAlign w:val="center"/>
          </w:tcPr>
          <w:p>
            <w:pPr>
              <w:spacing w:after="0"/>
            </w:pPr>
            <w:r/>
            <w:r>
              <w:rPr>
                <w:b w:val="0"/>
              </w:rPr>
              <w:t>降级</w:t>
            </w:r>
          </w:p>
        </w:tc>
        <w:tc>
          <w:tcPr>
            <w:tcW w:type="dxa" w:w="4608"/>
            <w:vAlign w:val="center"/>
          </w:tcPr>
          <w:p>
            <w:pPr>
              <w:spacing w:after="0"/>
            </w:pPr>
            <w:r/>
            <w:r>
              <w:rPr>
                <w:b w:val="0"/>
              </w:rPr>
              <w:t>无结构化输出、流中断、上下文不足和模型拒绝</w:t>
            </w:r>
          </w:p>
        </w:tc>
        <w:tc>
          <w:tcPr>
            <w:tcW w:type="dxa" w:w="3312"/>
            <w:vAlign w:val="center"/>
          </w:tcPr>
          <w:p>
            <w:pPr>
              <w:spacing w:after="0"/>
            </w:pPr>
            <w:r/>
            <w:r>
              <w:rPr>
                <w:b w:val="0"/>
              </w:rPr>
              <w:t>可解释失败、partial Candidate或安全退出</w:t>
            </w:r>
          </w:p>
        </w:tc>
      </w:tr>
    </w:tbl>
    <w:p>
      <w:pPr>
        <w:pStyle w:val="Heading2"/>
      </w:pPr>
      <w:r>
        <w:t>20.3 Candidate采用后的原子撤销</w:t>
      </w:r>
    </w:p>
    <w:p>
      <w:pPr/>
      <w:r>
        <w:t>1. 接受整稿、场景或单段Candidate时，Core在一个Draft事务内写入全部Patch并生成applyTransactionId。</w:t>
      </w:r>
    </w:p>
    <w:p>
      <w:pPr/>
      <w:r>
        <w:t>2. 事务成功后Draft Revision只递增一次；界面显示“已采用 · 撤销”，Ctrl/Cmd+Z撤销该事务。</w:t>
      </w:r>
    </w:p>
    <w:p>
      <w:pPr/>
      <w:r>
        <w:t>3. 撤销不删除Candidate、GenerationRun或来源记录，只把Draft恢复到采用前状态。</w:t>
      </w:r>
    </w:p>
    <w:p>
      <w:pPr/>
      <w:r>
        <w:t>4. 应用重启后不承诺保留内存撤销栈，但可通过采用前自动快照创建新的Draft恢复点。</w:t>
      </w:r>
    </w:p>
    <w:p>
      <w:pPr/>
      <w:r>
        <w:t>5. 若采用后已有新的作者编辑，直接整体撤销会影响后续编辑时，系统转为差异恢复预览，不静默覆盖。</w:t>
      </w:r>
    </w:p>
    <w:p>
      <w:pPr>
        <w:pStyle w:val="Heading2"/>
      </w:pPr>
      <w:r>
        <w:t>20.4 长章节候选审阅</w:t>
      </w:r>
    </w:p>
    <w:tbl>
      <w:tblPr>
        <w:tblW w:type="auto" w:w="0"/>
        <w:jc w:val="center"/>
        <w:tblLook w:firstColumn="1" w:firstRow="1" w:lastColumn="0" w:lastRow="0" w:noHBand="0" w:noVBand="1" w:val="04A0"/>
      </w:tblPr>
      <w:tblGrid>
        <w:gridCol w:w="3213"/>
        <w:gridCol w:w="3213"/>
        <w:gridCol w:w="3213"/>
      </w:tblGrid>
      <w:tr>
        <w:trPr>
          <w:tblHeader w:val="true"/>
        </w:trPr>
        <w:tc>
          <w:tcPr>
            <w:tcW w:type="dxa" w:w="1728"/>
            <w:vAlign w:val="center"/>
          </w:tcPr>
          <w:p>
            <w:pPr>
              <w:spacing w:after="0"/>
            </w:pPr>
            <w:r/>
            <w:r>
              <w:rPr>
                <w:b/>
              </w:rPr>
              <w:t>场景</w:t>
            </w:r>
          </w:p>
        </w:tc>
        <w:tc>
          <w:tcPr>
            <w:tcW w:type="dxa" w:w="4608"/>
            <w:vAlign w:val="center"/>
          </w:tcPr>
          <w:p>
            <w:pPr>
              <w:spacing w:after="0"/>
            </w:pPr>
            <w:r/>
            <w:r>
              <w:rPr>
                <w:b/>
              </w:rPr>
              <w:t>默认交互</w:t>
            </w:r>
          </w:p>
        </w:tc>
        <w:tc>
          <w:tcPr>
            <w:tcW w:type="dxa" w:w="3168"/>
            <w:vAlign w:val="center"/>
          </w:tcPr>
          <w:p>
            <w:pPr>
              <w:spacing w:after="0"/>
            </w:pPr>
            <w:r/>
            <w:r>
              <w:rPr>
                <w:b/>
              </w:rPr>
              <w:t>保护规则</w:t>
            </w:r>
          </w:p>
        </w:tc>
      </w:tr>
      <w:tr>
        <w:tc>
          <w:tcPr>
            <w:tcW w:type="dxa" w:w="1728"/>
            <w:vAlign w:val="center"/>
          </w:tcPr>
          <w:p>
            <w:pPr>
              <w:spacing w:after="0"/>
            </w:pPr>
            <w:r/>
            <w:r>
              <w:rPr>
                <w:b w:val="0"/>
              </w:rPr>
              <w:t>单段轻量改写</w:t>
            </w:r>
          </w:p>
        </w:tc>
        <w:tc>
          <w:tcPr>
            <w:tcW w:type="dxa" w:w="4608"/>
            <w:vAlign w:val="center"/>
          </w:tcPr>
          <w:p>
            <w:pPr>
              <w:spacing w:after="0"/>
            </w:pPr>
            <w:r/>
            <w:r>
              <w:rPr>
                <w:b w:val="0"/>
              </w:rPr>
              <w:t>正文内联预览，应用/换一个/取消，不进入全屏比较</w:t>
            </w:r>
          </w:p>
        </w:tc>
        <w:tc>
          <w:tcPr>
            <w:tcW w:type="dxa" w:w="3168"/>
            <w:vAlign w:val="center"/>
          </w:tcPr>
          <w:p>
            <w:pPr>
              <w:spacing w:after="0"/>
            </w:pPr>
            <w:r/>
            <w:r>
              <w:rPr>
                <w:b w:val="0"/>
              </w:rPr>
              <w:t>锁定检查、来源标记、Ctrl/Cmd+Z撤销</w:t>
            </w:r>
          </w:p>
        </w:tc>
      </w:tr>
      <w:tr>
        <w:tc>
          <w:tcPr>
            <w:tcW w:type="dxa" w:w="1728"/>
            <w:vAlign w:val="center"/>
          </w:tcPr>
          <w:p>
            <w:pPr>
              <w:spacing w:after="0"/>
            </w:pPr>
            <w:r/>
            <w:r>
              <w:rPr>
                <w:b w:val="0"/>
              </w:rPr>
              <w:t>跨段或跨场景</w:t>
            </w:r>
          </w:p>
        </w:tc>
        <w:tc>
          <w:tcPr>
            <w:tcW w:type="dxa" w:w="4608"/>
            <w:vAlign w:val="center"/>
          </w:tcPr>
          <w:p>
            <w:pPr>
              <w:spacing w:after="0"/>
            </w:pPr>
            <w:r/>
            <w:r>
              <w:rPr>
                <w:b w:val="0"/>
              </w:rPr>
              <w:t>完整Candidate比较；默认只看差异</w:t>
            </w:r>
          </w:p>
        </w:tc>
        <w:tc>
          <w:tcPr>
            <w:tcW w:type="dxa" w:w="3168"/>
            <w:vAlign w:val="center"/>
          </w:tcPr>
          <w:p>
            <w:pPr>
              <w:spacing w:after="0"/>
            </w:pPr>
            <w:r/>
            <w:r>
              <w:rPr>
                <w:b w:val="0"/>
              </w:rPr>
              <w:t>Revision、Hash和锁定校验</w:t>
            </w:r>
          </w:p>
        </w:tc>
      </w:tr>
      <w:tr>
        <w:tc>
          <w:tcPr>
            <w:tcW w:type="dxa" w:w="1728"/>
            <w:vAlign w:val="center"/>
          </w:tcPr>
          <w:p>
            <w:pPr>
              <w:spacing w:after="0"/>
            </w:pPr>
            <w:r/>
            <w:r>
              <w:rPr>
                <w:b w:val="0"/>
              </w:rPr>
              <w:t>长章节</w:t>
            </w:r>
          </w:p>
        </w:tc>
        <w:tc>
          <w:tcPr>
            <w:tcW w:type="dxa" w:w="4608"/>
            <w:vAlign w:val="center"/>
          </w:tcPr>
          <w:p>
            <w:pPr>
              <w:spacing w:after="0"/>
            </w:pPr>
            <w:r/>
            <w:r>
              <w:rPr>
                <w:b w:val="0"/>
              </w:rPr>
              <w:t>全屏双栏或单稿专注；场景目录；未改段折叠</w:t>
            </w:r>
          </w:p>
        </w:tc>
        <w:tc>
          <w:tcPr>
            <w:tcW w:type="dxa" w:w="3168"/>
            <w:vAlign w:val="center"/>
          </w:tcPr>
          <w:p>
            <w:pPr>
              <w:spacing w:after="0"/>
            </w:pPr>
            <w:r/>
            <w:r>
              <w:rPr>
                <w:b w:val="0"/>
              </w:rPr>
              <w:t>来源和逻辑块映射始终可追溯</w:t>
            </w:r>
          </w:p>
        </w:tc>
      </w:tr>
      <w:tr>
        <w:tc>
          <w:tcPr>
            <w:tcW w:type="dxa" w:w="1728"/>
            <w:vAlign w:val="center"/>
          </w:tcPr>
          <w:p>
            <w:pPr>
              <w:spacing w:after="0"/>
            </w:pPr>
            <w:r/>
            <w:r>
              <w:rPr>
                <w:b w:val="0"/>
              </w:rPr>
              <w:t>窄屏</w:t>
            </w:r>
          </w:p>
        </w:tc>
        <w:tc>
          <w:tcPr>
            <w:tcW w:type="dxa" w:w="4608"/>
            <w:vAlign w:val="center"/>
          </w:tcPr>
          <w:p>
            <w:pPr>
              <w:spacing w:after="0"/>
            </w:pPr>
            <w:r/>
            <w:r>
              <w:rPr>
                <w:b w:val="0"/>
              </w:rPr>
              <w:t>上下对照或当前稿/备选稿切换</w:t>
            </w:r>
          </w:p>
        </w:tc>
        <w:tc>
          <w:tcPr>
            <w:tcW w:type="dxa" w:w="3168"/>
            <w:vAlign w:val="center"/>
          </w:tcPr>
          <w:p>
            <w:pPr>
              <w:spacing w:after="0"/>
            </w:pPr>
            <w:r/>
            <w:r>
              <w:rPr>
                <w:b w:val="0"/>
              </w:rPr>
              <w:t>不得把正文压缩到不可读宽度</w:t>
            </w:r>
          </w:p>
        </w:tc>
      </w:tr>
    </w:tbl>
    <w:p>
      <w:pPr>
        <w:pStyle w:val="ListBullet"/>
      </w:pPr>
      <w:r>
        <w:t>双栏默认同步滚动，以sceneBeatId或logicalBlockId定位；作者可临时解除同步。</w:t>
      </w:r>
    </w:p>
    <w:p>
      <w:pPr>
        <w:pStyle w:val="ListBullet"/>
      </w:pPr>
      <w:r>
        <w:t>固定底部操作栏只保留：丢弃、重新生成、保存为版本、应用所选。</w:t>
      </w:r>
    </w:p>
    <w:p>
      <w:pPr>
        <w:pStyle w:val="ListBullet"/>
      </w:pPr>
      <w:r>
        <w:t>新增和删除颜色只表达文本差异；当前稿与AI稿的基础色不表达优劣。</w:t>
      </w:r>
    </w:p>
    <w:p>
      <w:pPr>
        <w:pStyle w:val="ListBullet"/>
      </w:pPr>
      <w:r>
        <w:t>候选超过5000正文字符时自动显示场景目录和未修改段落折叠入口。</w:t>
      </w:r>
    </w:p>
    <w:p>
      <w:pPr>
        <w:pStyle w:val="Heading2"/>
      </w:pPr>
      <w:r>
        <w:t>20.5 锁定块视觉与交互</w:t>
      </w:r>
    </w:p>
    <w:tbl>
      <w:tblPr>
        <w:tblW w:type="auto" w:w="0"/>
        <w:jc w:val="center"/>
        <w:tblLook w:firstColumn="1" w:firstRow="1" w:lastColumn="0" w:lastRow="0" w:noHBand="0" w:noVBand="1" w:val="04A0"/>
      </w:tblPr>
      <w:tblGrid>
        <w:gridCol w:w="3213"/>
        <w:gridCol w:w="3213"/>
        <w:gridCol w:w="3213"/>
      </w:tblGrid>
      <w:tr>
        <w:trPr>
          <w:tblHeader w:val="true"/>
        </w:trPr>
        <w:tc>
          <w:tcPr>
            <w:tcW w:type="dxa" w:w="1728"/>
            <w:vAlign w:val="center"/>
          </w:tcPr>
          <w:p>
            <w:pPr>
              <w:spacing w:after="0"/>
            </w:pPr>
            <w:r/>
            <w:r>
              <w:rPr>
                <w:b/>
              </w:rPr>
              <w:t>状态</w:t>
            </w:r>
          </w:p>
        </w:tc>
        <w:tc>
          <w:tcPr>
            <w:tcW w:type="dxa" w:w="3888"/>
            <w:vAlign w:val="center"/>
          </w:tcPr>
          <w:p>
            <w:pPr>
              <w:spacing w:after="0"/>
            </w:pPr>
            <w:r/>
            <w:r>
              <w:rPr>
                <w:b/>
              </w:rPr>
              <w:t>视觉</w:t>
            </w:r>
          </w:p>
        </w:tc>
        <w:tc>
          <w:tcPr>
            <w:tcW w:type="dxa" w:w="3888"/>
            <w:vAlign w:val="center"/>
          </w:tcPr>
          <w:p>
            <w:pPr>
              <w:spacing w:after="0"/>
            </w:pPr>
            <w:r/>
            <w:r>
              <w:rPr>
                <w:b/>
              </w:rPr>
              <w:t>交互</w:t>
            </w:r>
          </w:p>
        </w:tc>
      </w:tr>
      <w:tr>
        <w:tc>
          <w:tcPr>
            <w:tcW w:type="dxa" w:w="1728"/>
            <w:vAlign w:val="center"/>
          </w:tcPr>
          <w:p>
            <w:pPr>
              <w:spacing w:after="0"/>
            </w:pPr>
            <w:r/>
            <w:r>
              <w:rPr>
                <w:b w:val="0"/>
              </w:rPr>
              <w:t>普通</w:t>
            </w:r>
          </w:p>
        </w:tc>
        <w:tc>
          <w:tcPr>
            <w:tcW w:type="dxa" w:w="3888"/>
            <w:vAlign w:val="center"/>
          </w:tcPr>
          <w:p>
            <w:pPr>
              <w:spacing w:after="0"/>
            </w:pPr>
            <w:r/>
            <w:r>
              <w:rPr>
                <w:b w:val="0"/>
              </w:rPr>
              <w:t>无常驻底色；来源模式可显示细来源标记</w:t>
            </w:r>
          </w:p>
        </w:tc>
        <w:tc>
          <w:tcPr>
            <w:tcW w:type="dxa" w:w="3888"/>
            <w:vAlign w:val="center"/>
          </w:tcPr>
          <w:p>
            <w:pPr>
              <w:spacing w:after="0"/>
            </w:pPr>
            <w:r/>
            <w:r>
              <w:rPr>
                <w:b w:val="0"/>
              </w:rPr>
              <w:t>正常编辑</w:t>
            </w:r>
          </w:p>
        </w:tc>
      </w:tr>
      <w:tr>
        <w:tc>
          <w:tcPr>
            <w:tcW w:type="dxa" w:w="1728"/>
            <w:vAlign w:val="center"/>
          </w:tcPr>
          <w:p>
            <w:pPr>
              <w:spacing w:after="0"/>
            </w:pPr>
            <w:r/>
            <w:r>
              <w:rPr>
                <w:b w:val="0"/>
              </w:rPr>
              <w:t>锁定</w:t>
            </w:r>
          </w:p>
        </w:tc>
        <w:tc>
          <w:tcPr>
            <w:tcW w:type="dxa" w:w="3888"/>
            <w:vAlign w:val="center"/>
          </w:tcPr>
          <w:p>
            <w:pPr>
              <w:spacing w:after="0"/>
            </w:pPr>
            <w:r/>
            <w:r>
              <w:rPr>
                <w:b w:val="0"/>
              </w:rPr>
              <w:t>左侧细线+边缘锁图标；深浅主题均保持可见</w:t>
            </w:r>
          </w:p>
        </w:tc>
        <w:tc>
          <w:tcPr>
            <w:tcW w:type="dxa" w:w="3888"/>
            <w:vAlign w:val="center"/>
          </w:tcPr>
          <w:p>
            <w:pPr>
              <w:spacing w:after="0"/>
            </w:pPr>
            <w:r/>
            <w:r>
              <w:rPr>
                <w:b w:val="0"/>
              </w:rPr>
              <w:t>悬停显示“AI不会修改此段”</w:t>
            </w:r>
          </w:p>
        </w:tc>
      </w:tr>
      <w:tr>
        <w:tc>
          <w:tcPr>
            <w:tcW w:type="dxa" w:w="1728"/>
            <w:vAlign w:val="center"/>
          </w:tcPr>
          <w:p>
            <w:pPr>
              <w:spacing w:after="0"/>
            </w:pPr>
            <w:r/>
            <w:r>
              <w:rPr>
                <w:b w:val="0"/>
              </w:rPr>
              <w:t>AI操作涉及锁定块</w:t>
            </w:r>
          </w:p>
        </w:tc>
        <w:tc>
          <w:tcPr>
            <w:tcW w:type="dxa" w:w="3888"/>
            <w:vAlign w:val="center"/>
          </w:tcPr>
          <w:p>
            <w:pPr>
              <w:spacing w:after="0"/>
            </w:pPr>
            <w:r/>
            <w:r>
              <w:rPr>
                <w:b w:val="0"/>
              </w:rPr>
              <w:t>任务完成后显示低干扰摘要</w:t>
            </w:r>
          </w:p>
        </w:tc>
        <w:tc>
          <w:tcPr>
            <w:tcW w:type="dxa" w:w="3888"/>
            <w:vAlign w:val="center"/>
          </w:tcPr>
          <w:p>
            <w:pPr>
              <w:spacing w:after="0"/>
            </w:pPr>
            <w:r/>
            <w:r>
              <w:rPr>
                <w:b w:val="0"/>
              </w:rPr>
              <w:t>“已跳过N个锁定段落”，可查看，不弹阻断框</w:t>
            </w:r>
          </w:p>
        </w:tc>
      </w:tr>
      <w:tr>
        <w:tc>
          <w:tcPr>
            <w:tcW w:type="dxa" w:w="1728"/>
            <w:vAlign w:val="center"/>
          </w:tcPr>
          <w:p>
            <w:pPr>
              <w:spacing w:after="0"/>
            </w:pPr>
            <w:r/>
            <w:r>
              <w:rPr>
                <w:b w:val="0"/>
              </w:rPr>
              <w:t>解锁</w:t>
            </w:r>
          </w:p>
        </w:tc>
        <w:tc>
          <w:tcPr>
            <w:tcW w:type="dxa" w:w="3888"/>
            <w:vAlign w:val="center"/>
          </w:tcPr>
          <w:p>
            <w:pPr>
              <w:spacing w:after="0"/>
            </w:pPr>
            <w:r/>
            <w:r>
              <w:rPr>
                <w:b w:val="0"/>
              </w:rPr>
              <w:t>短暂显示状态变化后恢复普通视觉</w:t>
            </w:r>
          </w:p>
        </w:tc>
        <w:tc>
          <w:tcPr>
            <w:tcW w:type="dxa" w:w="3888"/>
            <w:vAlign w:val="center"/>
          </w:tcPr>
          <w:p>
            <w:pPr>
              <w:spacing w:after="0"/>
            </w:pPr>
            <w:r/>
            <w:r>
              <w:rPr>
                <w:b w:val="0"/>
              </w:rPr>
              <w:t>需作者明确执行；批量解锁二次确认</w:t>
            </w:r>
          </w:p>
        </w:tc>
      </w:tr>
    </w:tbl>
    <w:p>
      <w:pPr>
        <w:pStyle w:val="Heading2"/>
      </w:pPr>
      <w:r>
        <w:t>20.6 AI真实阶段进度</w:t>
      </w:r>
    </w:p>
    <w:p>
      <w:r>
        <w:t>AI进度必须来自真实程序阶段，禁止用循环文案、虚假百分比或固定倒计时模拟进度。</w:t>
      </w:r>
    </w:p>
    <w:p>
      <w:r>
        <w:t>任务条显示任务所属章节、当前阶段、已运行时长、已接收字符数和取消入口；切换页面后继续可见。</w:t>
      </w:r>
    </w:p>
    <w:p>
      <w:r>
        <w:t>只有同一Provider、模型和任务类型积累足够本地历史样本后，才可显示“通常需要X-Y秒”，不得承诺精确剩余时间。</w:t>
      </w:r>
    </w:p>
    <w:tbl>
      <w:tblPr>
        <w:tblW w:type="auto" w:w="0"/>
        <w:jc w:val="center"/>
        <w:tblLook w:firstColumn="1" w:firstRow="1" w:lastColumn="0" w:lastRow="0" w:noHBand="0" w:noVBand="1" w:val="04A0"/>
      </w:tblPr>
      <w:tblGrid>
        <w:gridCol w:w="4819"/>
        <w:gridCol w:w="4819"/>
      </w:tblGrid>
      <w:tr>
        <w:trPr>
          <w:tblHeader w:val="true"/>
        </w:trPr>
        <w:tc>
          <w:tcPr>
            <w:tcW w:type="dxa" w:w="1872"/>
            <w:vAlign w:val="center"/>
          </w:tcPr>
          <w:p>
            <w:pPr>
              <w:spacing w:after="0"/>
            </w:pPr>
            <w:r/>
            <w:r>
              <w:rPr>
                <w:b/>
              </w:rPr>
              <w:t>runType</w:t>
            </w:r>
          </w:p>
        </w:tc>
        <w:tc>
          <w:tcPr>
            <w:tcW w:type="dxa" w:w="7632"/>
            <w:vAlign w:val="center"/>
          </w:tcPr>
          <w:p>
            <w:pPr>
              <w:spacing w:after="0"/>
            </w:pPr>
            <w:r/>
            <w:r>
              <w:rPr>
                <w:b/>
              </w:rPr>
              <w:t>阶段序列</w:t>
            </w:r>
          </w:p>
        </w:tc>
      </w:tr>
      <w:tr>
        <w:tc>
          <w:tcPr>
            <w:tcW w:type="dxa" w:w="1872"/>
            <w:vAlign w:val="center"/>
          </w:tcPr>
          <w:p>
            <w:pPr>
              <w:spacing w:after="0"/>
            </w:pPr>
            <w:r/>
            <w:r>
              <w:rPr>
                <w:b w:val="0"/>
              </w:rPr>
              <w:t>skeleton</w:t>
            </w:r>
          </w:p>
        </w:tc>
        <w:tc>
          <w:tcPr>
            <w:tcW w:type="dxa" w:w="7632"/>
            <w:vAlign w:val="center"/>
          </w:tcPr>
          <w:p>
            <w:pPr>
              <w:spacing w:after="0"/>
            </w:pPr>
            <w:r/>
            <w:r>
              <w:rPr>
                <w:b w:val="0"/>
              </w:rPr>
              <w:t>整理章节信息 → 生成骨架 → 解析结构 → 检查约束 → 保存候选</w:t>
            </w:r>
          </w:p>
        </w:tc>
      </w:tr>
      <w:tr>
        <w:tc>
          <w:tcPr>
            <w:tcW w:type="dxa" w:w="1872"/>
            <w:vAlign w:val="center"/>
          </w:tcPr>
          <w:p>
            <w:pPr>
              <w:spacing w:after="0"/>
            </w:pPr>
            <w:r/>
            <w:r>
              <w:rPr>
                <w:b w:val="0"/>
              </w:rPr>
              <w:t>chapter</w:t>
            </w:r>
          </w:p>
        </w:tc>
        <w:tc>
          <w:tcPr>
            <w:tcW w:type="dxa" w:w="7632"/>
            <w:vAlign w:val="center"/>
          </w:tcPr>
          <w:p>
            <w:pPr>
              <w:spacing w:after="0"/>
            </w:pPr>
            <w:r/>
            <w:r>
              <w:rPr>
                <w:b w:val="0"/>
              </w:rPr>
              <w:t>整理上下文 → 调用模型 → 接收正文 → 清洗解析 → 基础校验 → 保存候选</w:t>
            </w:r>
          </w:p>
        </w:tc>
      </w:tr>
      <w:tr>
        <w:tc>
          <w:tcPr>
            <w:tcW w:type="dxa" w:w="1872"/>
            <w:vAlign w:val="center"/>
          </w:tcPr>
          <w:p>
            <w:pPr>
              <w:spacing w:after="0"/>
            </w:pPr>
            <w:r/>
            <w:r>
              <w:rPr>
                <w:b w:val="0"/>
              </w:rPr>
              <w:t>rewrite</w:t>
            </w:r>
          </w:p>
        </w:tc>
        <w:tc>
          <w:tcPr>
            <w:tcW w:type="dxa" w:w="7632"/>
            <w:vAlign w:val="center"/>
          </w:tcPr>
          <w:p>
            <w:pPr>
              <w:spacing w:after="0"/>
            </w:pPr>
            <w:r/>
            <w:r>
              <w:rPr>
                <w:b w:val="0"/>
              </w:rPr>
              <w:t>校验选区与锁定 → 组装局部上下文 → 生成 → 应用预览/保存候选</w:t>
            </w:r>
          </w:p>
        </w:tc>
      </w:tr>
      <w:tr>
        <w:tc>
          <w:tcPr>
            <w:tcW w:type="dxa" w:w="1872"/>
            <w:vAlign w:val="center"/>
          </w:tcPr>
          <w:p>
            <w:pPr>
              <w:spacing w:after="0"/>
            </w:pPr>
            <w:r/>
            <w:r>
              <w:rPr>
                <w:b w:val="0"/>
              </w:rPr>
              <w:t>validate</w:t>
            </w:r>
          </w:p>
        </w:tc>
        <w:tc>
          <w:tcPr>
            <w:tcW w:type="dxa" w:w="7632"/>
            <w:vAlign w:val="center"/>
          </w:tcPr>
          <w:p>
            <w:pPr>
              <w:spacing w:after="0"/>
            </w:pPr>
            <w:r/>
            <w:r>
              <w:rPr>
                <w:b w:val="0"/>
              </w:rPr>
              <w:t>读取规则 → 执行确定性检查 → 语义检查 → 合并去重 → 保存问题</w:t>
            </w:r>
          </w:p>
        </w:tc>
      </w:tr>
    </w:tbl>
    <w:p>
      <w:pPr>
        <w:pStyle w:val="Heading2"/>
      </w:pPr>
      <w:r>
        <w:t>20.7 上下文帮助与用户术语</w:t>
      </w:r>
    </w:p>
    <w:tbl>
      <w:tblPr>
        <w:tblW w:type="auto" w:w="0"/>
        <w:jc w:val="center"/>
        <w:tblLook w:firstColumn="1" w:firstRow="1" w:lastColumn="0" w:lastRow="0" w:noHBand="0" w:noVBand="1" w:val="04A0"/>
      </w:tblPr>
      <w:tblGrid>
        <w:gridCol w:w="3213"/>
        <w:gridCol w:w="3213"/>
        <w:gridCol w:w="3213"/>
      </w:tblGrid>
      <w:tr>
        <w:trPr>
          <w:tblHeader w:val="true"/>
        </w:trPr>
        <w:tc>
          <w:tcPr>
            <w:tcW w:type="dxa" w:w="1728"/>
            <w:vAlign w:val="center"/>
          </w:tcPr>
          <w:p>
            <w:pPr>
              <w:spacing w:after="0"/>
            </w:pPr>
            <w:r/>
            <w:r>
              <w:rPr>
                <w:b/>
              </w:rPr>
              <w:t>层级</w:t>
            </w:r>
          </w:p>
        </w:tc>
        <w:tc>
          <w:tcPr>
            <w:tcW w:type="dxa" w:w="3456"/>
            <w:vAlign w:val="center"/>
          </w:tcPr>
          <w:p>
            <w:pPr>
              <w:spacing w:after="0"/>
            </w:pPr>
            <w:r/>
            <w:r>
              <w:rPr>
                <w:b/>
              </w:rPr>
              <w:t>使用位置</w:t>
            </w:r>
          </w:p>
        </w:tc>
        <w:tc>
          <w:tcPr>
            <w:tcW w:type="dxa" w:w="4320"/>
            <w:vAlign w:val="center"/>
          </w:tcPr>
          <w:p>
            <w:pPr>
              <w:spacing w:after="0"/>
            </w:pPr>
            <w:r/>
            <w:r>
              <w:rPr>
                <w:b/>
              </w:rPr>
              <w:t>规则</w:t>
            </w:r>
          </w:p>
        </w:tc>
      </w:tr>
      <w:tr>
        <w:tc>
          <w:tcPr>
            <w:tcW w:type="dxa" w:w="1728"/>
            <w:vAlign w:val="center"/>
          </w:tcPr>
          <w:p>
            <w:pPr>
              <w:spacing w:after="0"/>
            </w:pPr>
            <w:r/>
            <w:r>
              <w:rPr>
                <w:b w:val="0"/>
              </w:rPr>
              <w:t>悬停解释</w:t>
            </w:r>
          </w:p>
        </w:tc>
        <w:tc>
          <w:tcPr>
            <w:tcW w:type="dxa" w:w="3456"/>
            <w:vAlign w:val="center"/>
          </w:tcPr>
          <w:p>
            <w:pPr>
              <w:spacing w:after="0"/>
            </w:pPr>
            <w:r/>
            <w:r>
              <w:rPr>
                <w:b w:val="0"/>
              </w:rPr>
              <w:t>场景卡、AI建议稿、定稿、锁定、状态确认、伏笔</w:t>
            </w:r>
          </w:p>
        </w:tc>
        <w:tc>
          <w:tcPr>
            <w:tcW w:type="dxa" w:w="4320"/>
            <w:vAlign w:val="center"/>
          </w:tcPr>
          <w:p>
            <w:pPr>
              <w:spacing w:after="0"/>
            </w:pPr>
            <w:r/>
            <w:r>
              <w:rPr>
                <w:b w:val="0"/>
              </w:rPr>
              <w:t>一句话说明；不遮挡正文；移开后消失</w:t>
            </w:r>
          </w:p>
        </w:tc>
      </w:tr>
      <w:tr>
        <w:tc>
          <w:tcPr>
            <w:tcW w:type="dxa" w:w="1728"/>
            <w:vAlign w:val="center"/>
          </w:tcPr>
          <w:p>
            <w:pPr>
              <w:spacing w:after="0"/>
            </w:pPr>
            <w:r/>
            <w:r>
              <w:rPr>
                <w:b w:val="0"/>
              </w:rPr>
              <w:t>首次提示</w:t>
            </w:r>
          </w:p>
        </w:tc>
        <w:tc>
          <w:tcPr>
            <w:tcW w:type="dxa" w:w="3456"/>
            <w:vAlign w:val="center"/>
          </w:tcPr>
          <w:p>
            <w:pPr>
              <w:spacing w:after="0"/>
            </w:pPr>
            <w:r/>
            <w:r>
              <w:rPr>
                <w:b w:val="0"/>
              </w:rPr>
              <w:t>第一次进入候选比较、连续性确认、版本恢复</w:t>
            </w:r>
          </w:p>
        </w:tc>
        <w:tc>
          <w:tcPr>
            <w:tcW w:type="dxa" w:w="4320"/>
            <w:vAlign w:val="center"/>
          </w:tcPr>
          <w:p>
            <w:pPr>
              <w:spacing w:after="0"/>
            </w:pPr>
            <w:r/>
            <w:r>
              <w:rPr>
                <w:b w:val="0"/>
              </w:rPr>
              <w:t>最多三步；可跳过、永久关闭</w:t>
            </w:r>
          </w:p>
        </w:tc>
      </w:tr>
      <w:tr>
        <w:tc>
          <w:tcPr>
            <w:tcW w:type="dxa" w:w="1728"/>
            <w:vAlign w:val="center"/>
          </w:tcPr>
          <w:p>
            <w:pPr>
              <w:spacing w:after="0"/>
            </w:pPr>
            <w:r/>
            <w:r>
              <w:rPr>
                <w:b w:val="0"/>
              </w:rPr>
              <w:t>页面帮助</w:t>
            </w:r>
          </w:p>
        </w:tc>
        <w:tc>
          <w:tcPr>
            <w:tcW w:type="dxa" w:w="3456"/>
            <w:vAlign w:val="center"/>
          </w:tcPr>
          <w:p>
            <w:pPr>
              <w:spacing w:after="0"/>
            </w:pPr>
            <w:r/>
            <w:r>
              <w:rPr>
                <w:b w:val="0"/>
              </w:rPr>
              <w:t>页面右上角“？”</w:t>
            </w:r>
          </w:p>
        </w:tc>
        <w:tc>
          <w:tcPr>
            <w:tcW w:type="dxa" w:w="4320"/>
            <w:vAlign w:val="center"/>
          </w:tcPr>
          <w:p>
            <w:pPr>
              <w:spacing w:after="0"/>
            </w:pPr>
            <w:r/>
            <w:r>
              <w:rPr>
                <w:b w:val="0"/>
              </w:rPr>
              <w:t>在当前页打开短说明，不跳转外部文档</w:t>
            </w:r>
          </w:p>
        </w:tc>
      </w:tr>
      <w:tr>
        <w:tc>
          <w:tcPr>
            <w:tcW w:type="dxa" w:w="1728"/>
            <w:vAlign w:val="center"/>
          </w:tcPr>
          <w:p>
            <w:pPr>
              <w:spacing w:after="0"/>
            </w:pPr>
            <w:r/>
            <w:r>
              <w:rPr>
                <w:b w:val="0"/>
              </w:rPr>
              <w:t>审计术语</w:t>
            </w:r>
          </w:p>
        </w:tc>
        <w:tc>
          <w:tcPr>
            <w:tcW w:type="dxa" w:w="3456"/>
            <w:vAlign w:val="center"/>
          </w:tcPr>
          <w:p>
            <w:pPr>
              <w:spacing w:after="0"/>
            </w:pPr>
            <w:r/>
            <w:r>
              <w:rPr>
                <w:b w:val="0"/>
              </w:rPr>
              <w:t>仅专业模式的审计详情</w:t>
            </w:r>
          </w:p>
        </w:tc>
        <w:tc>
          <w:tcPr>
            <w:tcW w:type="dxa" w:w="4320"/>
            <w:vAlign w:val="center"/>
          </w:tcPr>
          <w:p>
            <w:pPr>
              <w:spacing w:after="0"/>
            </w:pPr>
            <w:r/>
            <w:r>
              <w:rPr>
                <w:b w:val="0"/>
              </w:rPr>
              <w:t>可显示内部ID；普通界面始终使用用户术语</w:t>
            </w:r>
          </w:p>
        </w:tc>
      </w:tr>
    </w:tbl>
    <w:p>
      <w:r>
        <w:t>用户术语固定映射：当前稿（Draft）、AI建议稿（Candidate）、历史版本（Version）、内容已变化（Revision冲突）、人物与设定（Canon）、当前状态（EntityState）。用户界面不得混用两套名称。</w:t>
      </w:r>
    </w:p>
    <w:p>
      <w:pPr>
        <w:pStyle w:val="Heading2"/>
      </w:pPr>
      <w:r>
        <w:t>20.8 沉浸写作视图</w:t>
      </w:r>
    </w:p>
    <w:p>
      <w:pPr>
        <w:pStyle w:val="ListBullet"/>
      </w:pPr>
      <w:r>
        <w:t>沉浸写作是视图状态，不是第三种用户模式，不创建独立文档、Draft或设置体系。</w:t>
      </w:r>
    </w:p>
    <w:p>
      <w:pPr>
        <w:pStyle w:val="ListBullet"/>
      </w:pPr>
      <w:r>
        <w:t>视图仅保留章节标题、正文、保存状态、当前字数和轻量AI入口；P0数据安全错误仍可打断。</w:t>
      </w:r>
    </w:p>
    <w:p>
      <w:pPr>
        <w:pStyle w:val="ListBullet"/>
      </w:pPr>
      <w:r>
        <w:t>退出后恢复进入前的侧栏宽度、标签、滚动位置和光标位置。</w:t>
      </w:r>
    </w:p>
    <w:p>
      <w:pPr>
        <w:pStyle w:val="ListBullet"/>
      </w:pPr>
      <w:r>
        <w:t>沉浸写作可与打字机模式组合；背景保持纯色纸面，不提供图片、动态背景或环境声音。</w:t>
      </w:r>
    </w:p>
    <w:p>
      <w:pPr>
        <w:pStyle w:val="Heading2"/>
      </w:pPr>
      <w:r>
        <w:t>20.9 确定性场景化AI建议</w:t>
      </w:r>
    </w:p>
    <w:tbl>
      <w:tblPr>
        <w:tblW w:type="auto" w:w="0"/>
        <w:jc w:val="center"/>
        <w:tblLook w:firstColumn="1" w:firstRow="1" w:lastColumn="0" w:lastRow="0" w:noHBand="0" w:noVBand="1" w:val="04A0"/>
      </w:tblPr>
      <w:tblGrid>
        <w:gridCol w:w="4819"/>
        <w:gridCol w:w="4819"/>
      </w:tblGrid>
      <w:tr>
        <w:trPr>
          <w:tblHeader w:val="true"/>
        </w:trPr>
        <w:tc>
          <w:tcPr>
            <w:tcW w:type="dxa" w:w="3600"/>
            <w:vAlign w:val="center"/>
          </w:tcPr>
          <w:p>
            <w:pPr>
              <w:spacing w:after="0"/>
            </w:pPr>
            <w:r/>
            <w:r>
              <w:rPr>
                <w:b/>
              </w:rPr>
              <w:t>当前状态</w:t>
            </w:r>
          </w:p>
        </w:tc>
        <w:tc>
          <w:tcPr>
            <w:tcW w:type="dxa" w:w="5904"/>
            <w:vAlign w:val="center"/>
          </w:tcPr>
          <w:p>
            <w:pPr>
              <w:spacing w:after="0"/>
            </w:pPr>
            <w:r/>
            <w:r>
              <w:rPr>
                <w:b/>
              </w:rPr>
              <w:t>最多显示的一项建议</w:t>
            </w:r>
          </w:p>
        </w:tc>
      </w:tr>
      <w:tr>
        <w:tc>
          <w:tcPr>
            <w:tcW w:type="dxa" w:w="3600"/>
            <w:vAlign w:val="center"/>
          </w:tcPr>
          <w:p>
            <w:pPr>
              <w:spacing w:after="0"/>
            </w:pPr>
            <w:r/>
            <w:r>
              <w:rPr>
                <w:b w:val="0"/>
              </w:rPr>
              <w:t>空章节</w:t>
            </w:r>
          </w:p>
        </w:tc>
        <w:tc>
          <w:tcPr>
            <w:tcW w:type="dxa" w:w="5904"/>
            <w:vAlign w:val="center"/>
          </w:tcPr>
          <w:p>
            <w:pPr>
              <w:spacing w:after="0"/>
            </w:pPr>
            <w:r/>
            <w:r>
              <w:rPr>
                <w:b w:val="0"/>
              </w:rPr>
              <w:t>写下开场，或生成三个开篇方向</w:t>
            </w:r>
          </w:p>
        </w:tc>
      </w:tr>
      <w:tr>
        <w:tc>
          <w:tcPr>
            <w:tcW w:type="dxa" w:w="3600"/>
            <w:vAlign w:val="center"/>
          </w:tcPr>
          <w:p>
            <w:pPr>
              <w:spacing w:after="0"/>
            </w:pPr>
            <w:r/>
            <w:r>
              <w:rPr>
                <w:b w:val="0"/>
              </w:rPr>
              <w:t>已有一段正文</w:t>
            </w:r>
          </w:p>
        </w:tc>
        <w:tc>
          <w:tcPr>
            <w:tcW w:type="dxa" w:w="5904"/>
            <w:vAlign w:val="center"/>
          </w:tcPr>
          <w:p>
            <w:pPr>
              <w:spacing w:after="0"/>
            </w:pPr>
            <w:r/>
            <w:r>
              <w:rPr>
                <w:b w:val="0"/>
              </w:rPr>
              <w:t>继续写，或补充下一场景</w:t>
            </w:r>
          </w:p>
        </w:tc>
      </w:tr>
      <w:tr>
        <w:tc>
          <w:tcPr>
            <w:tcW w:type="dxa" w:w="3600"/>
            <w:vAlign w:val="center"/>
          </w:tcPr>
          <w:p>
            <w:pPr>
              <w:spacing w:after="0"/>
            </w:pPr>
            <w:r/>
            <w:r>
              <w:rPr>
                <w:b w:val="0"/>
              </w:rPr>
              <w:t>选中对话</w:t>
            </w:r>
          </w:p>
        </w:tc>
        <w:tc>
          <w:tcPr>
            <w:tcW w:type="dxa" w:w="5904"/>
            <w:vAlign w:val="center"/>
          </w:tcPr>
          <w:p>
            <w:pPr>
              <w:spacing w:after="0"/>
            </w:pPr>
            <w:r/>
            <w:r>
              <w:rPr>
                <w:b w:val="0"/>
              </w:rPr>
              <w:t>调整人物语气或补充潜台词</w:t>
            </w:r>
          </w:p>
        </w:tc>
      </w:tr>
      <w:tr>
        <w:tc>
          <w:tcPr>
            <w:tcW w:type="dxa" w:w="3600"/>
            <w:vAlign w:val="center"/>
          </w:tcPr>
          <w:p>
            <w:pPr>
              <w:spacing w:after="0"/>
            </w:pPr>
            <w:r/>
            <w:r>
              <w:rPr>
                <w:b w:val="0"/>
              </w:rPr>
              <w:t>当前场景明显低于建议字数</w:t>
            </w:r>
          </w:p>
        </w:tc>
        <w:tc>
          <w:tcPr>
            <w:tcW w:type="dxa" w:w="5904"/>
            <w:vAlign w:val="center"/>
          </w:tcPr>
          <w:p>
            <w:pPr>
              <w:spacing w:after="0"/>
            </w:pPr>
            <w:r/>
            <w:r>
              <w:rPr>
                <w:b w:val="0"/>
              </w:rPr>
              <w:t>扩写当前场景</w:t>
            </w:r>
          </w:p>
        </w:tc>
      </w:tr>
      <w:tr>
        <w:tc>
          <w:tcPr>
            <w:tcW w:type="dxa" w:w="3600"/>
            <w:vAlign w:val="center"/>
          </w:tcPr>
          <w:p>
            <w:pPr>
              <w:spacing w:after="0"/>
            </w:pPr>
            <w:r/>
            <w:r>
              <w:rPr>
                <w:b w:val="0"/>
              </w:rPr>
              <w:t>章节接近目标字数</w:t>
            </w:r>
          </w:p>
        </w:tc>
        <w:tc>
          <w:tcPr>
            <w:tcW w:type="dxa" w:w="5904"/>
            <w:vAlign w:val="center"/>
          </w:tcPr>
          <w:p>
            <w:pPr>
              <w:spacing w:after="0"/>
            </w:pPr>
            <w:r/>
            <w:r>
              <w:rPr>
                <w:b w:val="0"/>
              </w:rPr>
              <w:t>检查结尾钩子</w:t>
            </w:r>
          </w:p>
        </w:tc>
      </w:tr>
      <w:tr>
        <w:tc>
          <w:tcPr>
            <w:tcW w:type="dxa" w:w="3600"/>
            <w:vAlign w:val="center"/>
          </w:tcPr>
          <w:p>
            <w:pPr>
              <w:spacing w:after="0"/>
            </w:pPr>
            <w:r/>
            <w:r>
              <w:rPr>
                <w:b w:val="0"/>
              </w:rPr>
              <w:t>准备定稿</w:t>
            </w:r>
          </w:p>
        </w:tc>
        <w:tc>
          <w:tcPr>
            <w:tcW w:type="dxa" w:w="5904"/>
            <w:vAlign w:val="center"/>
          </w:tcPr>
          <w:p>
            <w:pPr>
              <w:spacing w:after="0"/>
            </w:pPr>
            <w:r/>
            <w:r>
              <w:rPr>
                <w:b w:val="0"/>
              </w:rPr>
              <w:t>检查前后衔接与关键状态</w:t>
            </w:r>
          </w:p>
        </w:tc>
      </w:tr>
    </w:tbl>
    <w:p>
      <w:pPr>
        <w:pStyle w:val="ListBullet"/>
      </w:pPr>
      <w:r>
        <w:t>建议由确定性规则产生，不调用模型分析作者行为，不建设偏好学习系统。</w:t>
      </w:r>
    </w:p>
    <w:p>
      <w:pPr>
        <w:pStyle w:val="ListBullet"/>
      </w:pPr>
      <w:r>
        <w:t>建议不自动弹窗、不自动执行、可单条关闭；同一上下文关闭后不重复出现。</w:t>
      </w:r>
    </w:p>
    <w:p>
      <w:pPr>
        <w:pStyle w:val="ListBullet"/>
      </w:pPr>
      <w:r>
        <w:t>专业作者可以在项目或全局设置中关闭全部场景化建议。</w:t>
      </w:r>
    </w:p>
    <w:p>
      <w:pPr>
        <w:pStyle w:val="Heading2"/>
      </w:pPr>
      <w:r>
        <w:t>20.10 轻量成就感与明确排除项</w:t>
      </w:r>
    </w:p>
    <w:p>
      <w:r>
        <w:t>只提供客观、可关闭的轻量里程碑：完成第一章、达到第一个一万字、完成第一卷、达到自定字数目标。里程碑不形成连续签到、排名、勋章墙或社交分享。</w:t>
      </w:r>
    </w:p>
    <w:p>
      <w:r>
        <w:t>以下内容不进入当前路线图：一键登录并发布到内容平台、WorldForge云同步、社区模板市场、完整成就系统、背景图片和环境声音、插件市场、社交功能。用户可以导出平台格式文本并自行发布。</w:t>
      </w:r>
    </w:p>
    <w:p>
      <w:pPr>
        <w:pStyle w:val="Heading2"/>
      </w:pPr>
      <w:r>
        <w:t>20.11 新增数据与接口</w:t>
      </w:r>
    </w:p>
    <w:tbl>
      <w:tblPr>
        <w:tblW w:type="auto" w:w="0"/>
        <w:jc w:val="center"/>
        <w:tblLook w:firstColumn="1" w:firstRow="1" w:lastColumn="0" w:lastRow="0" w:noHBand="0" w:noVBand="1" w:val="04A0"/>
      </w:tblPr>
      <w:tblGrid>
        <w:gridCol w:w="3213"/>
        <w:gridCol w:w="3213"/>
        <w:gridCol w:w="3213"/>
      </w:tblGrid>
      <w:tr>
        <w:trPr>
          <w:tblHeader w:val="true"/>
        </w:trPr>
        <w:tc>
          <w:tcPr>
            <w:tcW w:type="dxa" w:w="2448"/>
            <w:vAlign w:val="center"/>
          </w:tcPr>
          <w:p>
            <w:pPr>
              <w:spacing w:after="0"/>
            </w:pPr>
            <w:r/>
            <w:r>
              <w:rPr>
                <w:b/>
              </w:rPr>
              <w:t>对象</w:t>
            </w:r>
          </w:p>
        </w:tc>
        <w:tc>
          <w:tcPr>
            <w:tcW w:type="dxa" w:w="4464"/>
            <w:vAlign w:val="center"/>
          </w:tcPr>
          <w:p>
            <w:pPr>
              <w:spacing w:after="0"/>
            </w:pPr>
            <w:r/>
            <w:r>
              <w:rPr>
                <w:b/>
              </w:rPr>
              <w:t>最小字段/命令</w:t>
            </w:r>
          </w:p>
        </w:tc>
        <w:tc>
          <w:tcPr>
            <w:tcW w:type="dxa" w:w="2592"/>
            <w:vAlign w:val="center"/>
          </w:tcPr>
          <w:p>
            <w:pPr>
              <w:spacing w:after="0"/>
            </w:pPr>
            <w:r/>
            <w:r>
              <w:rPr>
                <w:b/>
              </w:rPr>
              <w:t>说明</w:t>
            </w:r>
          </w:p>
        </w:tc>
      </w:tr>
      <w:tr>
        <w:tc>
          <w:tcPr>
            <w:tcW w:type="dxa" w:w="2448"/>
            <w:vAlign w:val="center"/>
          </w:tcPr>
          <w:p>
            <w:pPr>
              <w:spacing w:after="0"/>
            </w:pPr>
            <w:r/>
            <w:r>
              <w:rPr>
                <w:b w:val="0"/>
              </w:rPr>
              <w:t>CandidateApplyRecord</w:t>
            </w:r>
          </w:p>
        </w:tc>
        <w:tc>
          <w:tcPr>
            <w:tcW w:type="dxa" w:w="4464"/>
            <w:vAlign w:val="center"/>
          </w:tcPr>
          <w:p>
            <w:pPr>
              <w:spacing w:after="0"/>
            </w:pPr>
            <w:r/>
            <w:r>
              <w:rPr>
                <w:b w:val="0"/>
              </w:rPr>
              <w:t>id, candidateId, draftId, beforeRevision, afterRevision, applyTransactionId, createdAt</w:t>
            </w:r>
          </w:p>
        </w:tc>
        <w:tc>
          <w:tcPr>
            <w:tcW w:type="dxa" w:w="2592"/>
            <w:vAlign w:val="center"/>
          </w:tcPr>
          <w:p>
            <w:pPr>
              <w:spacing w:after="0"/>
            </w:pPr>
            <w:r/>
            <w:r>
              <w:rPr>
                <w:b w:val="0"/>
              </w:rPr>
              <w:t>支持整体撤销和审计</w:t>
            </w:r>
          </w:p>
        </w:tc>
      </w:tr>
      <w:tr>
        <w:tc>
          <w:tcPr>
            <w:tcW w:type="dxa" w:w="2448"/>
            <w:vAlign w:val="center"/>
          </w:tcPr>
          <w:p>
            <w:pPr>
              <w:spacing w:after="0"/>
            </w:pPr>
            <w:r/>
            <w:r>
              <w:rPr>
                <w:b w:val="0"/>
              </w:rPr>
              <w:t>GenerationRunProgress</w:t>
            </w:r>
          </w:p>
        </w:tc>
        <w:tc>
          <w:tcPr>
            <w:tcW w:type="dxa" w:w="4464"/>
            <w:vAlign w:val="center"/>
          </w:tcPr>
          <w:p>
            <w:pPr>
              <w:spacing w:after="0"/>
            </w:pPr>
            <w:r/>
            <w:r>
              <w:rPr>
                <w:b w:val="0"/>
              </w:rPr>
              <w:t>runId, stage, sequence, receivedChars, elapsedMs</w:t>
            </w:r>
          </w:p>
        </w:tc>
        <w:tc>
          <w:tcPr>
            <w:tcW w:type="dxa" w:w="2592"/>
            <w:vAlign w:val="center"/>
          </w:tcPr>
          <w:p>
            <w:pPr>
              <w:spacing w:after="0"/>
            </w:pPr>
            <w:r/>
            <w:r>
              <w:rPr>
                <w:b w:val="0"/>
              </w:rPr>
              <w:t>只传真实阶段，不持久化正文片段日志</w:t>
            </w:r>
          </w:p>
        </w:tc>
      </w:tr>
      <w:tr>
        <w:tc>
          <w:tcPr>
            <w:tcW w:type="dxa" w:w="2448"/>
            <w:vAlign w:val="center"/>
          </w:tcPr>
          <w:p>
            <w:pPr>
              <w:spacing w:after="0"/>
            </w:pPr>
            <w:r/>
            <w:r>
              <w:rPr>
                <w:b w:val="0"/>
              </w:rPr>
              <w:t>HelpTopic</w:t>
            </w:r>
          </w:p>
        </w:tc>
        <w:tc>
          <w:tcPr>
            <w:tcW w:type="dxa" w:w="4464"/>
            <w:vAlign w:val="center"/>
          </w:tcPr>
          <w:p>
            <w:pPr>
              <w:spacing w:after="0"/>
            </w:pPr>
            <w:r/>
            <w:r>
              <w:rPr>
                <w:b w:val="0"/>
              </w:rPr>
              <w:t>topicId, userTerm, shortText, pageId, dismissScope</w:t>
            </w:r>
          </w:p>
        </w:tc>
        <w:tc>
          <w:tcPr>
            <w:tcW w:type="dxa" w:w="2592"/>
            <w:vAlign w:val="center"/>
          </w:tcPr>
          <w:p>
            <w:pPr>
              <w:spacing w:after="0"/>
            </w:pPr>
            <w:r/>
            <w:r>
              <w:rPr>
                <w:b w:val="0"/>
              </w:rPr>
              <w:t>本地静态帮助注册表</w:t>
            </w:r>
          </w:p>
        </w:tc>
      </w:tr>
      <w:tr>
        <w:tc>
          <w:tcPr>
            <w:tcW w:type="dxa" w:w="2448"/>
            <w:vAlign w:val="center"/>
          </w:tcPr>
          <w:p>
            <w:pPr>
              <w:spacing w:after="0"/>
            </w:pPr>
            <w:r/>
            <w:r>
              <w:rPr>
                <w:b w:val="0"/>
              </w:rPr>
              <w:t>UI视图状态</w:t>
            </w:r>
          </w:p>
        </w:tc>
        <w:tc>
          <w:tcPr>
            <w:tcW w:type="dxa" w:w="4464"/>
            <w:vAlign w:val="center"/>
          </w:tcPr>
          <w:p>
            <w:pPr>
              <w:spacing w:after="0"/>
            </w:pPr>
            <w:r/>
            <w:r>
              <w:rPr>
                <w:b w:val="0"/>
              </w:rPr>
              <w:t>immersiveWriting, typewriterMode, compareMode, scrollSync</w:t>
            </w:r>
          </w:p>
        </w:tc>
        <w:tc>
          <w:tcPr>
            <w:tcW w:type="dxa" w:w="2592"/>
            <w:vAlign w:val="center"/>
          </w:tcPr>
          <w:p>
            <w:pPr>
              <w:spacing w:after="0"/>
            </w:pPr>
            <w:r/>
            <w:r>
              <w:rPr>
                <w:b w:val="0"/>
              </w:rPr>
              <w:t>存应用设置，不进入项目正文真源</w:t>
            </w:r>
          </w:p>
        </w:tc>
      </w:tr>
      <w:tr>
        <w:tc>
          <w:tcPr>
            <w:tcW w:type="dxa" w:w="2448"/>
            <w:vAlign w:val="center"/>
          </w:tcPr>
          <w:p>
            <w:pPr>
              <w:spacing w:after="0"/>
            </w:pPr>
            <w:r/>
            <w:r>
              <w:rPr>
                <w:b w:val="0"/>
              </w:rPr>
              <w:t>candidate:undoApply</w:t>
            </w:r>
          </w:p>
        </w:tc>
        <w:tc>
          <w:tcPr>
            <w:tcW w:type="dxa" w:w="4464"/>
            <w:vAlign w:val="center"/>
          </w:tcPr>
          <w:p>
            <w:pPr>
              <w:spacing w:after="0"/>
            </w:pPr>
            <w:r/>
            <w:r>
              <w:rPr>
                <w:b w:val="0"/>
              </w:rPr>
              <w:t>applyTransactionId, expectedDraftRevision</w:t>
            </w:r>
          </w:p>
        </w:tc>
        <w:tc>
          <w:tcPr>
            <w:tcW w:type="dxa" w:w="2592"/>
            <w:vAlign w:val="center"/>
          </w:tcPr>
          <w:p>
            <w:pPr>
              <w:spacing w:after="0"/>
            </w:pPr>
            <w:r/>
            <w:r>
              <w:rPr>
                <w:b w:val="0"/>
              </w:rPr>
              <w:t>检测后续编辑；冲突时进入恢复预览</w:t>
            </w:r>
          </w:p>
        </w:tc>
      </w:tr>
      <w:tr>
        <w:tc>
          <w:tcPr>
            <w:tcW w:type="dxa" w:w="2448"/>
            <w:vAlign w:val="center"/>
          </w:tcPr>
          <w:p>
            <w:pPr>
              <w:spacing w:after="0"/>
            </w:pPr>
            <w:r/>
            <w:r>
              <w:rPr>
                <w:b w:val="0"/>
              </w:rPr>
              <w:t>generation:getProgress</w:t>
            </w:r>
          </w:p>
        </w:tc>
        <w:tc>
          <w:tcPr>
            <w:tcW w:type="dxa" w:w="4464"/>
            <w:vAlign w:val="center"/>
          </w:tcPr>
          <w:p>
            <w:pPr>
              <w:spacing w:after="0"/>
            </w:pPr>
            <w:r/>
            <w:r>
              <w:rPr>
                <w:b w:val="0"/>
              </w:rPr>
              <w:t>runId</w:t>
            </w:r>
          </w:p>
        </w:tc>
        <w:tc>
          <w:tcPr>
            <w:tcW w:type="dxa" w:w="2592"/>
            <w:vAlign w:val="center"/>
          </w:tcPr>
          <w:p>
            <w:pPr>
              <w:spacing w:after="0"/>
            </w:pPr>
            <w:r/>
            <w:r>
              <w:rPr>
                <w:b w:val="0"/>
              </w:rPr>
              <w:t>页面切换或重连后读取当前进度</w:t>
            </w:r>
          </w:p>
        </w:tc>
      </w:tr>
    </w:tbl>
    <w:p>
      <w:pPr>
        <w:pStyle w:val="Heading2"/>
      </w:pPr>
      <w:r>
        <w:t>20.12 最终发布门槛</w:t>
      </w:r>
    </w:p>
    <w:p>
      <w:pPr/>
      <w:r>
        <w:t>1. 默认推荐模型至少有一个通过T0/T1本地Eval；未通过时仍可作为“实验模型”手动选择。</w:t>
      </w:r>
    </w:p>
    <w:p>
      <w:pPr/>
      <w:r>
        <w:t>2. UX-19至UX-26和VIS-09至VIS-12通过高保真可点击原型测试。</w:t>
      </w:r>
    </w:p>
    <w:p>
      <w:pPr/>
      <w:r>
        <w:t>3. 候选采用、撤销、再次编辑、重启后恢复的完整E2E通过。</w:t>
      </w:r>
    </w:p>
    <w:p>
      <w:pPr/>
      <w:r>
        <w:t>4. 5000字候选在13寸笔记本和标准桌面分辨率下均可完成比较与逐段采用。</w:t>
      </w:r>
    </w:p>
    <w:p>
      <w:pPr/>
      <w:r>
        <w:t>5. 新手不接触内部术语即可完成：新建项目、写一段、调用AI、采用或撤销、定稿和导出。</w:t>
      </w:r>
    </w:p>
    <w:p>
      <w:pPr/>
      <w:r>
        <w:t>6. 资深作者可以关闭建议、提示和面板，在不经过T0/T1的情况下完成自主写作。</w:t>
      </w:r>
    </w:p>
    <w:p>
      <w:pPr>
        <w:pStyle w:val="Heading1"/>
      </w:pPr>
      <w:r>
        <w:t>21. 超长篇分层记忆与AI项目日记</w:t>
      </w:r>
    </w:p>
    <w:p>
      <w:r>
        <w:rPr>
          <w:rFonts w:ascii="Noto Sans CJK SC" w:hAnsi="Noto Sans CJK SC" w:eastAsia="Noto Sans CJK SC"/>
        </w:rPr>
        <w:t>本章补齐数百万字长篇的长期记忆架构，并增加AI项目日记。目标是让模型即使每次调用都没有持久上下文，系统仍能从本地权威数据中准确装载当前所需信息；同时为作者提供一份可读、可追溯、可定时更新的项目发展日志。</w:t>
      </w:r>
    </w:p>
    <w:tbl>
      <w:tblPr>
        <w:tblW w:type="auto" w:w="0"/>
        <w:jc w:val="center"/>
        <w:tblLook w:firstColumn="1" w:firstRow="1" w:lastColumn="0" w:lastRow="0" w:noHBand="0" w:noVBand="1" w:val="04A0"/>
      </w:tblPr>
      <w:tblGrid>
        <w:gridCol w:w="9638"/>
      </w:tblGrid>
      <w:tr>
        <w:tc>
          <w:tcPr>
            <w:tcW w:type="dxa" w:w="9638"/>
            <w:shd w:fill="EEF4F1"/>
            <w:tcMar>
              <w:top w:w="140" w:type="dxa"/>
              <w:start w:w="180" w:type="dxa"/>
              <w:bottom w:w="140" w:type="dxa"/>
              <w:end w:w="180" w:type="dxa"/>
            </w:tcMar>
          </w:tcPr>
          <w:p>
            <w:pPr>
              <w:jc w:val="left"/>
            </w:pPr>
            <w:r>
              <w:rPr>
                <w:rFonts w:ascii="Noto Sans CJK SC" w:hAnsi="Noto Sans CJK SC" w:eastAsia="Noto Sans CJK SC"/>
                <w:b/>
                <w:color w:val="1F3B34"/>
                <w:sz w:val="19"/>
              </w:rPr>
              <w:t>核心边界：AI项目日记是“项目记录与导航层”，不是权威设定库；分层摘要是“检索辅助层”，不是事实来源。任何自动生成内容都不得直接修改定稿正文、静态设定或当前权威状态。</w:t>
            </w:r>
          </w:p>
        </w:tc>
        <w:trPr>
          <w:tblHeader/>
        </w:trPr>
      </w:tr>
    </w:tbl>
    <w:p>
      <w:pPr>
        <w:pStyle w:val="Heading2"/>
      </w:pPr>
      <w:r>
        <w:t>21.1 适用规模、目标与非目标</w:t>
      </w:r>
    </w:p>
    <w:tbl>
      <w:tblPr>
        <w:tblW w:type="auto" w:w="0"/>
        <w:jc w:val="center"/>
        <w:tblLayout w:type="autofit"/>
        <w:tblLook w:firstColumn="1" w:firstRow="1" w:lastColumn="0" w:lastRow="0" w:noHBand="0" w:noVBand="1" w:val="04A0"/>
      </w:tblPr>
      <w:tblGrid>
        <w:gridCol w:w="4819"/>
        <w:gridCol w:w="4819"/>
      </w:tblGrid>
      <w:tr>
        <w:trPr>
          <w:tblHeader w:val="true"/>
        </w:trPr>
        <w:tc>
          <w:tcPr>
            <w:tcW w:type="dxa" w:w="1814"/>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项目</w:t>
            </w:r>
          </w:p>
        </w:tc>
        <w:tc>
          <w:tcPr>
            <w:tcW w:type="dxa" w:w="7483"/>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冻结规则</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适用规模</w:t>
            </w:r>
          </w:p>
        </w:tc>
        <w:tc>
          <w:tcPr>
            <w:tcW w:type="dxa" w:w="7483"/>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从普通长篇到300万—500万字、1000—1500章的单作者项目</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核心目标</w:t>
            </w:r>
          </w:p>
        </w:tc>
        <w:tc>
          <w:tcPr>
            <w:tcW w:type="dxa" w:w="7483"/>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保持当前状态准确、历史证据可追溯、旧信息不污染新章节、前文返修影响可控</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记忆原则</w:t>
            </w:r>
          </w:p>
        </w:tc>
        <w:tc>
          <w:tcPr>
            <w:tcW w:type="dxa" w:w="7483"/>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模型无持久记忆也可工作；每次任务从本地数据库按需重建上下文</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日记原则</w:t>
            </w:r>
          </w:p>
        </w:tc>
        <w:tc>
          <w:tcPr>
            <w:tcW w:type="dxa" w:w="7483"/>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只记录变化和进度，不重复整本书；所有条目带来源范围和生成时间</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明确非目标</w:t>
            </w:r>
          </w:p>
        </w:tc>
        <w:tc>
          <w:tcPr>
            <w:tcW w:type="dxa" w:w="7483"/>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不把整本书一次性发送给模型；不把摘要当权威事实；不建设云端记忆服务；不默认建立向量平台</w:t>
            </w:r>
          </w:p>
        </w:tc>
      </w:tr>
    </w:tbl>
    <w:p>
      <w:pPr>
        <w:pStyle w:val="Heading2"/>
      </w:pPr>
      <w:r>
        <w:t>21.2 L0—L5分层记忆模型</w:t>
      </w:r>
    </w:p>
    <w:tbl>
      <w:tblPr>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191"/>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层级</w:t>
            </w:r>
          </w:p>
        </w:tc>
        <w:tc>
          <w:tcPr>
            <w:tcW w:type="dxa" w:w="4592"/>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内容</w:t>
            </w:r>
          </w:p>
        </w:tc>
        <w:tc>
          <w:tcPr>
            <w:tcW w:type="dxa" w:w="3515"/>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默认使用范围</w:t>
            </w:r>
          </w:p>
        </w:tc>
      </w:tr>
      <w:tr>
        <w:tc>
          <w:tcPr>
            <w:tcW w:type="dxa" w:w="11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L0 当前操作记忆</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当前选区、相邻文本块、本次指令、锁定块</w:t>
            </w:r>
          </w:p>
        </w:tc>
        <w:tc>
          <w:tcPr>
            <w:tcW w:type="dxa" w:w="351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局部重写、精简、语气调整</w:t>
            </w:r>
          </w:p>
        </w:tc>
      </w:tr>
      <w:tr>
        <w:tc>
          <w:tcPr>
            <w:tcW w:type="dxa" w:w="11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L1 章节工作记忆</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本章目标、场景步骤、前章尾状态、出场人物与当前冲突</w:t>
            </w:r>
          </w:p>
        </w:tc>
        <w:tc>
          <w:tcPr>
            <w:tcW w:type="dxa" w:w="351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T0、T1、整章检查</w:t>
            </w:r>
          </w:p>
        </w:tc>
      </w:tr>
      <w:tr>
        <w:tc>
          <w:tcPr>
            <w:tcW w:type="dxa" w:w="11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L2 剧情弧/卷级记忆</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当前卷目标、活跃支线、近期关键事件、未兑现承诺</w:t>
            </w:r>
          </w:p>
        </w:tc>
        <w:tc>
          <w:tcPr>
            <w:tcW w:type="dxa" w:w="351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跨章生成、卷内连续性</w:t>
            </w:r>
          </w:p>
        </w:tc>
      </w:tr>
      <w:tr>
        <w:tc>
          <w:tcPr>
            <w:tcW w:type="dxa" w:w="11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L3 实体当前状态</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人物、地点、势力、物品的当前有效状态与重要知情信息</w:t>
            </w:r>
          </w:p>
        </w:tc>
        <w:tc>
          <w:tcPr>
            <w:tcW w:type="dxa" w:w="351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每次涉及对应实体时优先装载</w:t>
            </w:r>
          </w:p>
        </w:tc>
      </w:tr>
      <w:tr>
        <w:tc>
          <w:tcPr>
            <w:tcW w:type="dxa" w:w="11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L4 事件历史账本</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重要状态变化、事件发生顺序、证据与被覆盖关系</w:t>
            </w:r>
          </w:p>
        </w:tc>
        <w:tc>
          <w:tcPr>
            <w:tcW w:type="dxa" w:w="351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回查因果、解释当前状态</w:t>
            </w:r>
          </w:p>
        </w:tc>
      </w:tr>
      <w:tr>
        <w:tc>
          <w:tcPr>
            <w:tcW w:type="dxa" w:w="11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L5 正文冷档案</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完整定稿正文、旧版本、已结束支线和历史资料</w:t>
            </w:r>
          </w:p>
        </w:tc>
        <w:tc>
          <w:tcPr>
            <w:tcW w:type="dxa" w:w="351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明确回忆、长线伏笔或作者主动检索时</w:t>
            </w:r>
          </w:p>
        </w:tc>
      </w:tr>
    </w:tbl>
    <w:p>
      <w:r>
        <w:rPr>
          <w:rFonts w:ascii="Noto Sans CJK SC" w:hAnsi="Noto Sans CJK SC" w:eastAsia="Noto Sans CJK SC"/>
        </w:rPr>
        <w:t>调用模型时不按层级平均分配上下文。L0、L1和L3优先级最高；L2按当前剧情弧选择；L4和L5仅在需要证据或历史回查时进入。</w:t>
      </w:r>
    </w:p>
    <w:p>
      <w:pPr>
        <w:pStyle w:val="Heading2"/>
      </w:pPr>
      <w:r>
        <w:t>21.3 权威记忆与派生记忆</w:t>
      </w:r>
    </w:p>
    <w:tbl>
      <w:tblPr>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814"/>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类型</w:t>
            </w:r>
          </w:p>
        </w:tc>
        <w:tc>
          <w:tcPr>
            <w:tcW w:type="dxa" w:w="4592"/>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包含内容</w:t>
            </w:r>
          </w:p>
        </w:tc>
        <w:tc>
          <w:tcPr>
            <w:tcW w:type="dxa" w:w="2891"/>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约束力</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权威记忆</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定稿Version、作者确认的静态设定、当前动态状态、时间线、知情信息、伏笔状态</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可以直接约束生成；冲突时优先级最高</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派生记忆</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章节摘要、剧情弧摘要、卷摘要、AI项目日记、检索关键词、AI风险判断</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只用于导航、压缩和定位；必须回到权威记录或原文证据</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临时工作记忆</w:t>
            </w:r>
          </w:p>
        </w:tc>
        <w:tc>
          <w:tcPr>
            <w:tcW w:type="dxa" w:w="459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当前任务组装的约束包和选区上下文</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任务结束后可丢弃，不回写权威数据</w:t>
            </w:r>
          </w:p>
        </w:tc>
      </w:tr>
    </w:tbl>
    <w:p>
      <w:pPr>
        <w:pStyle w:val="ListBullet"/>
      </w:pPr>
      <w:r>
        <w:rPr>
          <w:rFonts w:ascii="Noto Sans CJK SC" w:hAnsi="Noto Sans CJK SC" w:eastAsia="Noto Sans CJK SC"/>
        </w:rPr>
        <w:t>摘要与AI项目日记出现事实冲突时，以定稿正文和作者确认状态为准。</w:t>
      </w:r>
    </w:p>
    <w:p>
      <w:pPr>
        <w:pStyle w:val="ListBullet"/>
      </w:pPr>
      <w:r>
        <w:rPr>
          <w:rFonts w:ascii="Noto Sans CJK SC" w:hAnsi="Noto Sans CJK SC" w:eastAsia="Noto Sans CJK SC"/>
        </w:rPr>
        <w:t>派生记忆必须保存sourceHash、来源章节范围和生成版本；来源改变后标记stale。</w:t>
      </w:r>
    </w:p>
    <w:p>
      <w:pPr>
        <w:pStyle w:val="ListBullet"/>
      </w:pPr>
      <w:r>
        <w:rPr>
          <w:rFonts w:ascii="Noto Sans CJK SC" w:hAnsi="Noto Sans CJK SC" w:eastAsia="Noto Sans CJK SC"/>
        </w:rPr>
        <w:t>AI可以从日记中发现“可能遗漏的设定”，但只能创建待确认提案，不得自动写入Canon。</w:t>
      </w:r>
    </w:p>
    <w:p>
      <w:pPr>
        <w:pStyle w:val="Heading2"/>
      </w:pPr>
      <w:r>
        <w:t>21.4 时序状态与历史账本</w:t>
      </w:r>
    </w:p>
    <w:p>
      <w:r>
        <w:rPr>
          <w:rFonts w:ascii="Noto Sans CJK SC" w:hAnsi="Noto Sans CJK SC" w:eastAsia="Noto Sans CJK SC"/>
        </w:rPr>
        <w:t>所有长期动态状态必须区分当前有效值、历史值和已被覆盖值，避免检索到早期状态后误当成当前事实。</w:t>
      </w:r>
    </w:p>
    <w:tbl>
      <w:tblPr>
        <w:tblW w:type="auto" w:w="0"/>
        <w:jc w:val="center"/>
        <w:tblLayout w:type="autofit"/>
        <w:tblLook w:firstColumn="1" w:firstRow="1" w:lastColumn="0" w:lastRow="0" w:noHBand="0" w:noVBand="1" w:val="04A0"/>
      </w:tblPr>
      <w:tblGrid>
        <w:gridCol w:w="4819"/>
        <w:gridCol w:w="4819"/>
      </w:tblGrid>
      <w:tr>
        <w:trPr>
          <w:tblHeader w:val="true"/>
        </w:trPr>
        <w:tc>
          <w:tcPr>
            <w:tcW w:type="dxa" w:w="2381"/>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字段</w:t>
            </w:r>
          </w:p>
        </w:tc>
        <w:tc>
          <w:tcPr>
            <w:tcW w:type="dxa" w:w="6860"/>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含义</w:t>
            </w:r>
          </w:p>
        </w:tc>
      </w:tr>
      <w:tr>
        <w:tc>
          <w:tcPr>
            <w:tcW w:type="dxa" w:w="238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entity_id / state_key</w:t>
            </w:r>
          </w:p>
        </w:tc>
        <w:tc>
          <w:tcPr>
            <w:tcW w:type="dxa" w:w="686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实体和状态键，如位置、伤势、持有物、关系阶段</w:t>
            </w:r>
          </w:p>
        </w:tc>
      </w:tr>
      <w:tr>
        <w:tc>
          <w:tcPr>
            <w:tcW w:type="dxa" w:w="238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typed_value</w:t>
            </w:r>
          </w:p>
        </w:tc>
        <w:tc>
          <w:tcPr>
            <w:tcW w:type="dxa" w:w="686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结构化值；可为文本、数字、布尔、枚举或实体引用</w:t>
            </w:r>
          </w:p>
        </w:tc>
      </w:tr>
      <w:tr>
        <w:tc>
          <w:tcPr>
            <w:tcW w:type="dxa" w:w="238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valid_from_chapter_id</w:t>
            </w:r>
          </w:p>
        </w:tc>
        <w:tc>
          <w:tcPr>
            <w:tcW w:type="dxa" w:w="686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该状态开始生效的章节</w:t>
            </w:r>
          </w:p>
        </w:tc>
      </w:tr>
      <w:tr>
        <w:tc>
          <w:tcPr>
            <w:tcW w:type="dxa" w:w="238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valid_until_chapter_id</w:t>
            </w:r>
          </w:p>
        </w:tc>
        <w:tc>
          <w:tcPr>
            <w:tcW w:type="dxa" w:w="686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失效章节；当前有效时为空</w:t>
            </w:r>
          </w:p>
        </w:tc>
      </w:tr>
      <w:tr>
        <w:tc>
          <w:tcPr>
            <w:tcW w:type="dxa" w:w="238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source_version_id</w:t>
            </w:r>
          </w:p>
        </w:tc>
        <w:tc>
          <w:tcPr>
            <w:tcW w:type="dxa" w:w="686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产生该状态的定稿版本</w:t>
            </w:r>
          </w:p>
        </w:tc>
      </w:tr>
      <w:tr>
        <w:tc>
          <w:tcPr>
            <w:tcW w:type="dxa" w:w="238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evidence_block_ids</w:t>
            </w:r>
          </w:p>
        </w:tc>
        <w:tc>
          <w:tcPr>
            <w:tcW w:type="dxa" w:w="686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支持该判断的正文块</w:t>
            </w:r>
          </w:p>
        </w:tc>
      </w:tr>
      <w:tr>
        <w:tc>
          <w:tcPr>
            <w:tcW w:type="dxa" w:w="238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status</w:t>
            </w:r>
          </w:p>
        </w:tc>
        <w:tc>
          <w:tcPr>
            <w:tcW w:type="dxa" w:w="686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current / historical / superseded / invalid</w:t>
            </w:r>
          </w:p>
        </w:tc>
      </w:tr>
    </w:tbl>
    <w:p>
      <w:r>
        <w:rPr>
          <w:rFonts w:ascii="Noto Sans CJK SC" w:hAnsi="Noto Sans CJK SC" w:eastAsia="Noto Sans CJK SC"/>
        </w:rPr>
        <w:t>同一实体同一state_key最多存在一条current记录。新状态被作者接受时，旧current自动转为superseded并补齐valid_until_chapter_id。</w:t>
      </w:r>
    </w:p>
    <w:p>
      <w:pPr>
        <w:pStyle w:val="Heading2"/>
      </w:pPr>
      <w:r>
        <w:t>21.5 章节、剧情弧与卷级摘要</w:t>
      </w:r>
    </w:p>
    <w:p>
      <w:pPr>
        <w:ind w:left="369" w:hanging="369"/>
      </w:pPr>
      <w:r>
        <w:rPr>
          <w:rFonts w:ascii="Noto Sans CJK SC" w:hAnsi="Noto Sans CJK SC" w:eastAsia="Noto Sans CJK SC"/>
        </w:rPr>
        <w:t>1. 章节定稿后生成章节摘要候选，内容包括本章目标、结果、重要状态变化、信息变化和未完成事项。</w:t>
      </w:r>
    </w:p>
    <w:p>
      <w:pPr>
        <w:ind w:left="369" w:hanging="369"/>
      </w:pPr>
      <w:r>
        <w:rPr>
          <w:rFonts w:ascii="Noto Sans CJK SC" w:hAnsi="Noto Sans CJK SC" w:eastAsia="Noto Sans CJK SC"/>
        </w:rPr>
        <w:t>2. 剧情弧摘要只聚合该剧情弧内已定稿章节和已确认状态，不读取废弃Candidate。</w:t>
      </w:r>
    </w:p>
    <w:p>
      <w:pPr>
        <w:ind w:left="369" w:hanging="369"/>
      </w:pPr>
      <w:r>
        <w:rPr>
          <w:rFonts w:ascii="Noto Sans CJK SC" w:hAnsi="Noto Sans CJK SC" w:eastAsia="Noto Sans CJK SC"/>
        </w:rPr>
        <w:t>3. 卷摘要在卷级检查点生成，记录卷目标完成情况、人物关系变化、活跃伏笔和进入下一卷的权威起始状态。</w:t>
      </w:r>
    </w:p>
    <w:p>
      <w:pPr>
        <w:ind w:left="369" w:hanging="369"/>
      </w:pPr>
      <w:r>
        <w:rPr>
          <w:rFonts w:ascii="Noto Sans CJK SC" w:hAnsi="Noto Sans CJK SC" w:eastAsia="Noto Sans CJK SC"/>
        </w:rPr>
        <w:t>4. 摘要必须附来源章节范围、sourceHash和关键证据链接；摘要本身不覆盖原始记录。</w:t>
      </w:r>
    </w:p>
    <w:p>
      <w:pPr>
        <w:ind w:left="369" w:hanging="369"/>
      </w:pPr>
      <w:r>
        <w:rPr>
          <w:rFonts w:ascii="Noto Sans CJK SC" w:hAnsi="Noto Sans CJK SC" w:eastAsia="Noto Sans CJK SC"/>
        </w:rPr>
        <w:t>5. 来源章节重新定稿后，相关摘要标记stale；未重建前不得作为高优先级约束。</w:t>
      </w:r>
    </w:p>
    <w:p>
      <w:pPr>
        <w:pStyle w:val="Heading2"/>
      </w:pPr>
      <w:r>
        <w:t>21.6 热、温、冷数据分区</w:t>
      </w:r>
    </w:p>
    <w:tbl>
      <w:tblPr>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417"/>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分区</w:t>
            </w:r>
          </w:p>
        </w:tc>
        <w:tc>
          <w:tcPr>
            <w:tcW w:type="dxa" w:w="4649"/>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典型内容</w:t>
            </w:r>
          </w:p>
        </w:tc>
        <w:tc>
          <w:tcPr>
            <w:tcW w:type="dxa" w:w="3231"/>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检索策略</w:t>
            </w:r>
          </w:p>
        </w:tc>
      </w:tr>
      <w:tr>
        <w:tc>
          <w:tcPr>
            <w:tcW w:type="dxa" w:w="14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热数据</w:t>
            </w:r>
          </w:p>
        </w:tc>
        <w:tc>
          <w:tcPr>
            <w:tcW w:type="dxa" w:w="464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当前章节、当前剧情弧、出场人物当前状态、活跃伏笔、最近章节</w:t>
            </w:r>
          </w:p>
        </w:tc>
        <w:tc>
          <w:tcPr>
            <w:tcW w:type="dxa" w:w="323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默认参与约束包；优先级最高</w:t>
            </w:r>
          </w:p>
        </w:tc>
      </w:tr>
      <w:tr>
        <w:tc>
          <w:tcPr>
            <w:tcW w:type="dxa" w:w="14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温数据</w:t>
            </w:r>
          </w:p>
        </w:tc>
        <w:tc>
          <w:tcPr>
            <w:tcW w:type="dxa" w:w="464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当前卷早期事件、长期未出场但仍活跃的人物、未解决关系和秘密</w:t>
            </w:r>
          </w:p>
        </w:tc>
        <w:tc>
          <w:tcPr>
            <w:tcW w:type="dxa" w:w="323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按实体、剧情弧和明确关键词召回</w:t>
            </w:r>
          </w:p>
        </w:tc>
      </w:tr>
      <w:tr>
        <w:tc>
          <w:tcPr>
            <w:tcW w:type="dxa" w:w="14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冷数据</w:t>
            </w:r>
          </w:p>
        </w:tc>
        <w:tc>
          <w:tcPr>
            <w:tcW w:type="dxa" w:w="464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已结束支线、退场人物、已回收伏笔、被覆盖状态、旧版本</w:t>
            </w:r>
          </w:p>
        </w:tc>
        <w:tc>
          <w:tcPr>
            <w:tcW w:type="dxa" w:w="323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默认不进入生成；仅用于回忆、考据、长线回收或作者搜索</w:t>
            </w:r>
          </w:p>
        </w:tc>
      </w:tr>
    </w:tbl>
    <w:p>
      <w:r>
        <w:rPr>
          <w:rFonts w:ascii="Noto Sans CJK SC" w:hAnsi="Noto Sans CJK SC" w:eastAsia="Noto Sans CJK SC"/>
        </w:rPr>
        <w:t>分区是检索标签，不移动或删除权威数据。一个条目可因剧情重新激活从冷区回到温区或热区。</w:t>
      </w:r>
    </w:p>
    <w:p>
      <w:pPr>
        <w:pStyle w:val="Heading2"/>
      </w:pPr>
      <w:r>
        <w:t>21.7 超长篇约束包组装顺序</w:t>
      </w:r>
    </w:p>
    <w:p>
      <w:pPr>
        <w:ind w:left="369" w:hanging="369"/>
      </w:pPr>
      <w:r>
        <w:rPr>
          <w:rFonts w:ascii="Noto Sans CJK SC" w:hAnsi="Noto Sans CJK SC" w:eastAsia="Noto Sans CJK SC"/>
        </w:rPr>
        <w:t>1. 读取当前章节、场景和作者明确绑定的实体。</w:t>
      </w:r>
    </w:p>
    <w:p>
      <w:pPr>
        <w:ind w:left="369" w:hanging="369"/>
      </w:pPr>
      <w:r>
        <w:rPr>
          <w:rFonts w:ascii="Noto Sans CJK SC" w:hAnsi="Noto Sans CJK SC" w:eastAsia="Noto Sans CJK SC"/>
        </w:rPr>
        <w:t>2. 装载L3当前状态、前章尾状态和当前卷检查点。</w:t>
      </w:r>
    </w:p>
    <w:p>
      <w:pPr>
        <w:ind w:left="369" w:hanging="369"/>
      </w:pPr>
      <w:r>
        <w:rPr>
          <w:rFonts w:ascii="Noto Sans CJK SC" w:hAnsi="Noto Sans CJK SC" w:eastAsia="Noto Sans CJK SC"/>
        </w:rPr>
        <w:t>3. 装载当前剧情弧/卷级摘要、活跃伏笔和重要知情信息。</w:t>
      </w:r>
    </w:p>
    <w:p>
      <w:pPr>
        <w:ind w:left="369" w:hanging="369"/>
      </w:pPr>
      <w:r>
        <w:rPr>
          <w:rFonts w:ascii="Noto Sans CJK SC" w:hAnsi="Noto Sans CJK SC" w:eastAsia="Noto Sans CJK SC"/>
        </w:rPr>
        <w:t>4. 通过FTS5召回名称、别名、事件和专有词相关的历史原文。</w:t>
      </w:r>
    </w:p>
    <w:p>
      <w:pPr>
        <w:ind w:left="369" w:hanging="369"/>
      </w:pPr>
      <w:r>
        <w:rPr>
          <w:rFonts w:ascii="Noto Sans CJK SC" w:hAnsi="Noto Sans CJK SC" w:eastAsia="Noto Sans CJK SC"/>
        </w:rPr>
        <w:t>5. 执行时序有效性过滤：排除已失效、被覆盖、废弃版本和不适用于当前章节的状态。</w:t>
      </w:r>
    </w:p>
    <w:p>
      <w:pPr>
        <w:ind w:left="369" w:hanging="369"/>
      </w:pPr>
      <w:r>
        <w:rPr>
          <w:rFonts w:ascii="Noto Sans CJK SC" w:hAnsi="Noto Sans CJK SC" w:eastAsia="Noto Sans CJK SC"/>
        </w:rPr>
        <w:t>6. 去重并处理冲突；权威记录高于摘要，当前状态高于历史状态。</w:t>
      </w:r>
    </w:p>
    <w:p>
      <w:pPr>
        <w:ind w:left="369" w:hanging="369"/>
      </w:pPr>
      <w:r>
        <w:rPr>
          <w:rFonts w:ascii="Noto Sans CJK SC" w:hAnsi="Noto Sans CJK SC" w:eastAsia="Noto Sans CJK SC"/>
        </w:rPr>
        <w:t>7. 按照任务Token预算裁剪；低相关冷数据最先移除。</w:t>
      </w:r>
    </w:p>
    <w:tbl>
      <w:tblPr>
        <w:tblW w:type="auto" w:w="0"/>
        <w:jc w:val="center"/>
        <w:tblLook w:firstColumn="1" w:firstRow="1" w:lastColumn="0" w:lastRow="0" w:noHBand="0" w:noVBand="1" w:val="04A0"/>
      </w:tblPr>
      <w:tblGrid>
        <w:gridCol w:w="9638"/>
      </w:tblGrid>
      <w:tr>
        <w:tc>
          <w:tcPr>
            <w:tcW w:type="dxa" w:w="9638"/>
            <w:shd w:fill="F3F1E8"/>
            <w:tcMar>
              <w:top w:w="140" w:type="dxa"/>
              <w:start w:w="180" w:type="dxa"/>
              <w:bottom w:w="140" w:type="dxa"/>
              <w:end w:w="180" w:type="dxa"/>
            </w:tcMar>
          </w:tcPr>
          <w:p>
            <w:pPr>
              <w:jc w:val="left"/>
            </w:pPr>
            <w:r>
              <w:rPr>
                <w:rFonts w:ascii="Noto Sans CJK SC" w:hAnsi="Noto Sans CJK SC" w:eastAsia="Noto Sans CJK SC"/>
                <w:b/>
                <w:color w:val="1F3B34"/>
                <w:sz w:val="19"/>
              </w:rPr>
              <w:t>语义检索决策门：只有在150万字以上真实项目评测中，FTS5对同义表达、别名或跨卷事件的召回未达到门槛，才新增固定的本地语义召回实现。不得为了“以后可能用到”预建通用向量平台。</w:t>
            </w:r>
          </w:p>
        </w:tc>
        <w:trPr>
          <w:tblHeader/>
        </w:trPr>
      </w:tr>
    </w:tbl>
    <w:p>
      <w:pPr>
        <w:pStyle w:val="Heading2"/>
      </w:pPr>
      <w:r>
        <w:t>21.8 卷级连续性检查点与失效传播</w:t>
      </w:r>
    </w:p>
    <w:tbl>
      <w:tblPr>
        <w:tblW w:type="auto" w:w="0"/>
        <w:jc w:val="center"/>
        <w:tblLayout w:type="autofit"/>
        <w:tblLook w:firstColumn="1" w:firstRow="1" w:lastColumn="0" w:lastRow="0" w:noHBand="0" w:noVBand="1" w:val="04A0"/>
      </w:tblPr>
      <w:tblGrid>
        <w:gridCol w:w="4819"/>
        <w:gridCol w:w="4819"/>
      </w:tblGrid>
      <w:tr>
        <w:trPr>
          <w:tblHeader w:val="true"/>
        </w:trPr>
        <w:tc>
          <w:tcPr>
            <w:tcW w:type="dxa" w:w="2835"/>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改动类型</w:t>
            </w:r>
          </w:p>
        </w:tc>
        <w:tc>
          <w:tcPr>
            <w:tcW w:type="dxa" w:w="6406"/>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默认影响范围</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纯文字润色</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只使当前Version文本Hash变化；不使状态、摘要和后续快照失效</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局部语义变化</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当前章节摘要和相关AI日记来源标记stale；按提取结果判断状态影响</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人物位置/伤势/物品/知情变化</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从修改章节向后失效，直到下一个状态一致的卷级检查点</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事件结果或剧情弧变化</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当前剧情弧与卷摘要失效；必要时传播到下一卷检查点</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删除伏笔或改变回收结果</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相关伏笔、回收章节校验和卷摘要失效</w:t>
            </w:r>
          </w:p>
        </w:tc>
      </w:tr>
    </w:tbl>
    <w:p>
      <w:pPr>
        <w:pStyle w:val="ListBullet"/>
      </w:pPr>
      <w:r>
        <w:rPr>
          <w:rFonts w:ascii="Noto Sans CJK SC" w:hAnsi="Noto Sans CJK SC" w:eastAsia="Noto Sans CJK SC"/>
        </w:rPr>
        <w:t>每卷结束时生成一个作者可确认的连续性检查点，保存卷末当前状态、活跃线索和sourceHash。</w:t>
      </w:r>
    </w:p>
    <w:p>
      <w:pPr>
        <w:pStyle w:val="ListBullet"/>
      </w:pPr>
      <w:r>
        <w:rPr>
          <w:rFonts w:ascii="Noto Sans CJK SC" w:hAnsi="Noto Sans CJK SC" w:eastAsia="Noto Sans CJK SC"/>
        </w:rPr>
        <w:t>修改早期章节后先重算到本卷检查点；若检查点输出未变化，不继续向后传播。</w:t>
      </w:r>
    </w:p>
    <w:p>
      <w:pPr>
        <w:pStyle w:val="ListBullet"/>
      </w:pPr>
      <w:r>
        <w:rPr>
          <w:rFonts w:ascii="Noto Sans CJK SC" w:hAnsi="Noto Sans CJK SC" w:eastAsia="Noto Sans CJK SC"/>
        </w:rPr>
        <w:t>任何失效传播都只标记派生数据，不自动重写后续正文。</w:t>
      </w:r>
    </w:p>
    <w:p>
      <w:pPr>
        <w:pStyle w:val="ListBullet"/>
      </w:pPr>
      <w:r>
        <w:rPr>
          <w:rFonts w:ascii="Noto Sans CJK SC" w:hAnsi="Noto Sans CJK SC" w:eastAsia="Noto Sans CJK SC"/>
        </w:rPr>
        <w:t>AI可以建议改动类型，最终影响范围由确定性状态差异和作者确认决定。</w:t>
      </w:r>
    </w:p>
    <w:p>
      <w:pPr>
        <w:pStyle w:val="Heading2"/>
      </w:pPr>
      <w:r>
        <w:t>21.9 AI项目日记：定位与内容</w:t>
      </w:r>
    </w:p>
    <w:p>
      <w:r>
        <w:rPr>
          <w:rFonts w:ascii="Noto Sans CJK SC" w:hAnsi="Noto Sans CJK SC" w:eastAsia="Noto Sans CJK SC"/>
        </w:rPr>
        <w:t>AI项目日记是本地项目的“可读变化日志”。它帮助作者快速回顾本期写了什么、哪些设定发生变化、剧情推进到哪里、还有哪些风险和未完成事项。它不替代大纲、设定库、时间线、伏笔库或状态提案。</w:t>
      </w:r>
    </w:p>
    <w:tbl>
      <w:tblPr>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814"/>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日记栏目</w:t>
            </w:r>
          </w:p>
        </w:tc>
        <w:tc>
          <w:tcPr>
            <w:tcW w:type="dxa" w:w="4535"/>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记录内容</w:t>
            </w:r>
          </w:p>
        </w:tc>
        <w:tc>
          <w:tcPr>
            <w:tcW w:type="dxa" w:w="2891"/>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数据来源</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本期创作进展</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新定稿章节、字数、完成的场景和剧情节点</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定稿Version、章节元数据</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剧情进度</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主线/支线推进、当前剧情弧位置、已兑现和未兑现目标</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大纲、scene_beats、卷/剧情弧摘要</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人物与关系</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已确认的位置、伤势、关系、目标和知情变化</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entity_states、knowledge_states</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设定与世界观</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新增或修改的作者确认设定；疑似遗漏只列为待确认</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canon_entities、状态提案</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伏笔与线索</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新埋设、强化、部分揭示、回收和超期风险</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foreshadowings、校验结果</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连续性风险</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stale摘要/快照、冲突、未确认状态提案和高风险校验</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派生状态、validation_issues</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下一步关注</w:t>
            </w:r>
          </w:p>
        </w:tc>
        <w:tc>
          <w:tcPr>
            <w:tcW w:type="dxa" w:w="45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基于大纲和未完成事项给出的非权威建议</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StoryTodo、大纲、活跃线索</w:t>
            </w:r>
          </w:p>
        </w:tc>
      </w:tr>
    </w:tbl>
    <w:p>
      <w:pPr>
        <w:pStyle w:val="Heading2"/>
      </w:pPr>
      <w:r>
        <w:t>21.10 日记触发、定时与增量更新</w:t>
      </w:r>
    </w:p>
    <w:tbl>
      <w:tblPr>
        <w:tblW w:type="auto" w:w="0"/>
        <w:jc w:val="center"/>
        <w:tblLayout w:type="autofit"/>
        <w:tblLook w:firstColumn="1" w:firstRow="1" w:lastColumn="0" w:lastRow="0" w:noHBand="0" w:noVBand="1" w:val="04A0"/>
      </w:tblPr>
      <w:tblGrid>
        <w:gridCol w:w="4819"/>
        <w:gridCol w:w="4819"/>
      </w:tblGrid>
      <w:tr>
        <w:trPr>
          <w:tblHeader w:val="true"/>
        </w:trPr>
        <w:tc>
          <w:tcPr>
            <w:tcW w:type="dxa" w:w="1984"/>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触发方式</w:t>
            </w:r>
          </w:p>
        </w:tc>
        <w:tc>
          <w:tcPr>
            <w:tcW w:type="dxa" w:w="7257"/>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行为</w:t>
            </w:r>
          </w:p>
        </w:tc>
      </w:tr>
      <w:tr>
        <w:tc>
          <w:tcPr>
            <w:tcW w:type="dxa" w:w="198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手动更新</w:t>
            </w:r>
          </w:p>
        </w:tc>
        <w:tc>
          <w:tcPr>
            <w:tcW w:type="dxa" w:w="72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作者点击“更新项目日记”，选择当前章、最近N章、当前卷或上次日记之后</w:t>
            </w:r>
          </w:p>
        </w:tc>
      </w:tr>
      <w:tr>
        <w:tc>
          <w:tcPr>
            <w:tcW w:type="dxa" w:w="198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章节事件</w:t>
            </w:r>
          </w:p>
        </w:tc>
        <w:tc>
          <w:tcPr>
            <w:tcW w:type="dxa" w:w="72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每定稿N章后生成一篇日记草稿；默认建议N=5，用户可修改或关闭</w:t>
            </w:r>
          </w:p>
        </w:tc>
      </w:tr>
      <w:tr>
        <w:tc>
          <w:tcPr>
            <w:tcW w:type="dxa" w:w="198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卷级事件</w:t>
            </w:r>
          </w:p>
        </w:tc>
        <w:tc>
          <w:tcPr>
            <w:tcW w:type="dxa" w:w="72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卷定稿或创建卷级检查点后生成卷总结日记</w:t>
            </w:r>
          </w:p>
        </w:tc>
      </w:tr>
      <w:tr>
        <w:tc>
          <w:tcPr>
            <w:tcW w:type="dxa" w:w="198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每日/每周计划</w:t>
            </w:r>
          </w:p>
        </w:tc>
        <w:tc>
          <w:tcPr>
            <w:tcW w:type="dxa" w:w="72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仅在项目打开时执行；错过计划时在下次打开项目后补执行一次</w:t>
            </w:r>
          </w:p>
        </w:tc>
      </w:tr>
      <w:tr>
        <w:tc>
          <w:tcPr>
            <w:tcW w:type="dxa" w:w="198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重大变更</w:t>
            </w:r>
          </w:p>
        </w:tc>
        <w:tc>
          <w:tcPr>
            <w:tcW w:type="dxa" w:w="725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早期章节返修导致大范围stale时，可生成“修订影响日记”</w:t>
            </w:r>
          </w:p>
        </w:tc>
      </w:tr>
    </w:tbl>
    <w:p>
      <w:pPr>
        <w:pStyle w:val="ListBullet"/>
      </w:pPr>
      <w:r>
        <w:rPr>
          <w:rFonts w:ascii="Noto Sans CJK SC" w:hAnsi="Noto Sans CJK SC" w:eastAsia="Noto Sans CJK SC"/>
        </w:rPr>
        <w:t>v1不安装系统后台服务，不在应用关闭时运行模型，也不使用云端定时任务。</w:t>
      </w:r>
    </w:p>
    <w:p>
      <w:pPr>
        <w:pStyle w:val="ListBullet"/>
      </w:pPr>
      <w:r>
        <w:rPr>
          <w:rFonts w:ascii="Noto Sans CJK SC" w:hAnsi="Noto Sans CJK SC" w:eastAsia="Noto Sans CJK SC"/>
        </w:rPr>
        <w:t>自动日记必须由作者显式启用，并选择模型、频率和范围；默认关闭外部API自动调用。</w:t>
      </w:r>
    </w:p>
    <w:p>
      <w:pPr>
        <w:pStyle w:val="ListBullet"/>
      </w:pPr>
      <w:r>
        <w:rPr>
          <w:rFonts w:ascii="Noto Sans CJK SC" w:hAnsi="Noto Sans CJK SC" w:eastAsia="Noto Sans CJK SC"/>
        </w:rPr>
        <w:t>每次只处理自上次日记检查点以来的增量，不重新发送整本书。</w:t>
      </w:r>
    </w:p>
    <w:p>
      <w:pPr>
        <w:pStyle w:val="ListBullet"/>
      </w:pPr>
      <w:r>
        <w:rPr>
          <w:rFonts w:ascii="Noto Sans CJK SC" w:hAnsi="Noto Sans CJK SC" w:eastAsia="Noto Sans CJK SC"/>
        </w:rPr>
        <w:t>没有实质变化时不生成空日记，只更新last_checked_at。</w:t>
      </w:r>
    </w:p>
    <w:p>
      <w:pPr>
        <w:pStyle w:val="ListBullet"/>
      </w:pPr>
      <w:r>
        <w:rPr>
          <w:rFonts w:ascii="Noto Sans CJK SC" w:hAnsi="Noto Sans CJK SC" w:eastAsia="Noto Sans CJK SC"/>
        </w:rPr>
        <w:t>外部API模式必须在设置中显示可能发送的数据范围；可单独指定本地API承担日记任务。</w:t>
      </w:r>
    </w:p>
    <w:p>
      <w:pPr>
        <w:pStyle w:val="Heading2"/>
      </w:pPr>
      <w:r>
        <w:t>21.11 日记生成、确认与回溯</w:t>
      </w:r>
    </w:p>
    <w:p>
      <w:pPr>
        <w:ind w:left="369" w:hanging="369"/>
      </w:pPr>
      <w:r>
        <w:rPr>
          <w:rFonts w:ascii="Noto Sans CJK SC" w:hAnsi="Noto Sans CJK SC" w:eastAsia="Noto Sans CJK SC"/>
        </w:rPr>
        <w:t>1. Core确定时间范围和变化集：新定稿版本、已接受状态变化、设定修改、伏笔变化和高风险问题。</w:t>
      </w:r>
    </w:p>
    <w:p>
      <w:pPr>
        <w:ind w:left="369" w:hanging="369"/>
      </w:pPr>
      <w:r>
        <w:rPr>
          <w:rFonts w:ascii="Noto Sans CJK SC" w:hAnsi="Noto Sans CJK SC" w:eastAsia="Noto Sans CJK SC"/>
        </w:rPr>
        <w:t>2. 组装“日记增量包”，不包含无关完整正文；必要证据使用块引用和短摘录。</w:t>
      </w:r>
    </w:p>
    <w:p>
      <w:pPr>
        <w:ind w:left="369" w:hanging="369"/>
      </w:pPr>
      <w:r>
        <w:rPr>
          <w:rFonts w:ascii="Noto Sans CJK SC" w:hAnsi="Noto Sans CJK SC" w:eastAsia="Noto Sans CJK SC"/>
        </w:rPr>
        <w:t>3. AI返回结构化日记草稿和每条记录的来源链接。</w:t>
      </w:r>
    </w:p>
    <w:p>
      <w:pPr>
        <w:ind w:left="369" w:hanging="369"/>
      </w:pPr>
      <w:r>
        <w:rPr>
          <w:rFonts w:ascii="Noto Sans CJK SC" w:hAnsi="Noto Sans CJK SC" w:eastAsia="Noto Sans CJK SC"/>
        </w:rPr>
        <w:t>4. 系统执行Schema校验、来源存在性检查和重复项合并。</w:t>
      </w:r>
    </w:p>
    <w:p>
      <w:pPr>
        <w:ind w:left="369" w:hanging="369"/>
      </w:pPr>
      <w:r>
        <w:rPr>
          <w:rFonts w:ascii="Noto Sans CJK SC" w:hAnsi="Noto Sans CJK SC" w:eastAsia="Noto Sans CJK SC"/>
        </w:rPr>
        <w:t>5. 日记草稿本地保存；作者可编辑、确认、归档或删除。</w:t>
      </w:r>
    </w:p>
    <w:p>
      <w:pPr>
        <w:ind w:left="369" w:hanging="369"/>
      </w:pPr>
      <w:r>
        <w:rPr>
          <w:rFonts w:ascii="Noto Sans CJK SC" w:hAnsi="Noto Sans CJK SC" w:eastAsia="Noto Sans CJK SC"/>
        </w:rPr>
        <w:t>6. 确认日记仍不自动写回Canon。作者可从“疑似遗漏记录”创建现有状态提案、设定待办或StoryTodo。</w:t>
      </w:r>
    </w:p>
    <w:tbl>
      <w:tblPr>
        <w:tblW w:type="auto" w:w="0"/>
        <w:jc w:val="center"/>
        <w:tblLook w:firstColumn="1" w:firstRow="1" w:lastColumn="0" w:lastRow="0" w:noHBand="0" w:noVBand="1" w:val="04A0"/>
      </w:tblPr>
      <w:tblGrid>
        <w:gridCol w:w="9638"/>
      </w:tblGrid>
      <w:tr>
        <w:tc>
          <w:tcPr>
            <w:tcW w:type="dxa" w:w="9638"/>
            <w:shd w:fill="EEF4F1"/>
            <w:tcMar>
              <w:top w:w="140" w:type="dxa"/>
              <w:start w:w="180" w:type="dxa"/>
              <w:bottom w:w="140" w:type="dxa"/>
              <w:end w:w="180" w:type="dxa"/>
            </w:tcMar>
          </w:tcPr>
          <w:p>
            <w:pPr>
              <w:jc w:val="left"/>
            </w:pPr>
            <w:r>
              <w:rPr>
                <w:rFonts w:ascii="Noto Sans CJK SC" w:hAnsi="Noto Sans CJK SC" w:eastAsia="Noto Sans CJK SC"/>
                <w:b/>
                <w:color w:val="1F3B34"/>
                <w:sz w:val="19"/>
              </w:rPr>
              <w:t>历史修订规则：已确认日记作为当时项目状态的历史记录保留，不自动改写；其来源发生变化时标记“来源已变更”，并允许生成一篇更正/补充日记。未确认草稿可以直接重新生成。</w:t>
            </w:r>
          </w:p>
        </w:tc>
        <w:trPr>
          <w:tblHeader/>
        </w:trPr>
      </w:tr>
    </w:tbl>
    <w:p>
      <w:pPr>
        <w:pStyle w:val="Heading2"/>
      </w:pPr>
      <w:r>
        <w:t>21.12 AI项目日记交互与界面</w:t>
      </w:r>
    </w:p>
    <w:tbl>
      <w:tblPr>
        <w:tblW w:type="auto" w:w="0"/>
        <w:jc w:val="center"/>
        <w:tblLayout w:type="autofit"/>
        <w:tblLook w:firstColumn="1" w:firstRow="1" w:lastColumn="0" w:lastRow="0" w:noHBand="0" w:noVBand="1" w:val="04A0"/>
      </w:tblPr>
      <w:tblGrid>
        <w:gridCol w:w="4819"/>
        <w:gridCol w:w="4819"/>
      </w:tblGrid>
      <w:tr>
        <w:trPr>
          <w:tblHeader w:val="true"/>
        </w:trPr>
        <w:tc>
          <w:tcPr>
            <w:tcW w:type="dxa" w:w="1814"/>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区域</w:t>
            </w:r>
          </w:p>
        </w:tc>
        <w:tc>
          <w:tcPr>
            <w:tcW w:type="dxa" w:w="7370"/>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内容与交互</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入口</w:t>
            </w:r>
          </w:p>
        </w:tc>
        <w:tc>
          <w:tcPr>
            <w:tcW w:type="dxa" w:w="737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首页次级入口“项目日记”；不新增一级导航。连续性工作台可显示最近一篇日记摘要</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左侧时间轴</w:t>
            </w:r>
          </w:p>
        </w:tc>
        <w:tc>
          <w:tcPr>
            <w:tcW w:type="dxa" w:w="737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按日期、章节范围和类型排列；支持手动、自动、卷总结和修订影响筛选</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正文区</w:t>
            </w:r>
          </w:p>
        </w:tc>
        <w:tc>
          <w:tcPr>
            <w:tcW w:type="dxa" w:w="737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以编辑部日志形式展示七类栏目；作者可直接编辑Markdown式正文</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来源侧栏</w:t>
            </w:r>
          </w:p>
        </w:tc>
        <w:tc>
          <w:tcPr>
            <w:tcW w:type="dxa" w:w="737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显示来源章节、版本、状态记录和证据块；点击跳转原文</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顶部操作</w:t>
            </w:r>
          </w:p>
        </w:tc>
        <w:tc>
          <w:tcPr>
            <w:tcW w:type="dxa" w:w="737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立即更新、选择范围、计划设置、确认、归档和导出</w:t>
            </w:r>
          </w:p>
        </w:tc>
      </w:tr>
      <w:tr>
        <w:tc>
          <w:tcPr>
            <w:tcW w:type="dxa" w:w="181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低干扰通知</w:t>
            </w:r>
          </w:p>
        </w:tc>
        <w:tc>
          <w:tcPr>
            <w:tcW w:type="dxa" w:w="737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自动生成完成属于P2提示，不弹窗；首页最多显示一条“项目日记已更新”</w:t>
            </w:r>
          </w:p>
        </w:tc>
      </w:tr>
    </w:tbl>
    <w:p>
      <w:r>
        <w:rPr>
          <w:rFonts w:ascii="Noto Sans CJK SC" w:hAnsi="Noto Sans CJK SC" w:eastAsia="Noto Sans CJK SC"/>
        </w:rPr>
        <w:t>新手模式默认只显示“本期进展、人物变化、下一步关注”；专业模式可展开全部栏目、来源和stale状态。</w:t>
      </w:r>
    </w:p>
    <w:p>
      <w:pPr>
        <w:pStyle w:val="Heading2"/>
      </w:pPr>
      <w:r>
        <w:t>21.13 数据模型与最小接口</w:t>
      </w:r>
    </w:p>
    <w:tbl>
      <w:tblPr>
        <w:tblW w:type="auto" w:w="0"/>
        <w:jc w:val="center"/>
        <w:tblLayout w:type="autofit"/>
        <w:tblLook w:firstColumn="1" w:firstRow="1" w:lastColumn="0" w:lastRow="0" w:noHBand="0" w:noVBand="1" w:val="04A0"/>
      </w:tblPr>
      <w:tblGrid>
        <w:gridCol w:w="4819"/>
        <w:gridCol w:w="4819"/>
      </w:tblGrid>
      <w:tr>
        <w:trPr>
          <w:tblHeader w:val="true"/>
        </w:trPr>
        <w:tc>
          <w:tcPr>
            <w:tcW w:type="dxa" w:w="2324"/>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表/对象</w:t>
            </w:r>
          </w:p>
        </w:tc>
        <w:tc>
          <w:tcPr>
            <w:tcW w:type="dxa" w:w="6917"/>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关键字段与约束</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memory_summaries</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scope_type、scope_id、chapter_start_order、chapter_end_order、content、source_hash、status(valid/stale)</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continuity_checkpoints</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volume_id、final_chapter_id、state_snapshot_json、source_hash、status、confirmed_at</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project_diary_entries</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id、entry_type、range_start/end、trigger_type、status(draft/confirmed/archived)、content、source_hash、created_at</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project_diary_sources</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entry_id、source_type、source_id、version_id、block_id可空；来源删除时保留软引用</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project_diary_settings</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enabled、cadence_type、interval_value、preferred_time、model_provider_id、catch_up_on_open、last_checked_at</w:t>
            </w:r>
          </w:p>
        </w:tc>
      </w:tr>
    </w:tbl>
    <w:tbl>
      <w:tblPr>
        <w:tblW w:type="auto" w:w="0"/>
        <w:jc w:val="center"/>
        <w:tblLayout w:type="autofit"/>
        <w:tblLook w:firstColumn="1" w:firstRow="1" w:lastColumn="0" w:lastRow="0" w:noHBand="0" w:noVBand="1" w:val="04A0"/>
      </w:tblPr>
      <w:tblGrid>
        <w:gridCol w:w="4819"/>
        <w:gridCol w:w="4819"/>
      </w:tblGrid>
      <w:tr>
        <w:trPr>
          <w:tblHeader w:val="true"/>
        </w:trPr>
        <w:tc>
          <w:tcPr>
            <w:tcW w:type="dxa" w:w="2835"/>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IPC命令</w:t>
            </w:r>
          </w:p>
        </w:tc>
        <w:tc>
          <w:tcPr>
            <w:tcW w:type="dxa" w:w="6406"/>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用途</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memory:assemble</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按任务范围组装分层记忆包</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memory:rebuild-summary</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重建章节/剧情弧/卷摘要</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memory:recalculate-impact</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计算历史返修的失效范围</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diary:generate</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生成指定范围的日记草稿</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diary:confirm</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确认日记但不写回权威设定</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diary:update-settings</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修改事件/时间计划和模型选择</w:t>
            </w:r>
          </w:p>
        </w:tc>
      </w:tr>
      <w:tr>
        <w:tc>
          <w:tcPr>
            <w:tcW w:type="dxa" w:w="2835"/>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diary:create-proposal</w:t>
            </w:r>
          </w:p>
        </w:tc>
        <w:tc>
          <w:tcPr>
            <w:tcW w:type="dxa" w:w="6406"/>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从日记疑似遗漏项创建现有状态或设定提案</w:t>
            </w:r>
          </w:p>
        </w:tc>
      </w:tr>
    </w:tbl>
    <w:p>
      <w:pPr>
        <w:pStyle w:val="Heading2"/>
      </w:pPr>
      <w:r>
        <w:t>21.14 百万字压力、召回与日记质量验收</w:t>
      </w:r>
    </w:p>
    <w:tbl>
      <w:tblPr>
        <w:tblW w:type="auto" w:w="0"/>
        <w:jc w:val="center"/>
        <w:tblLayout w:type="autofit"/>
        <w:tblLook w:firstColumn="1" w:firstRow="1" w:lastColumn="0" w:lastRow="0" w:noHBand="0" w:noVBand="1" w:val="04A0"/>
      </w:tblPr>
      <w:tblGrid>
        <w:gridCol w:w="4819"/>
        <w:gridCol w:w="4819"/>
      </w:tblGrid>
      <w:tr>
        <w:trPr>
          <w:tblHeader w:val="true"/>
        </w:trPr>
        <w:tc>
          <w:tcPr>
            <w:tcW w:type="dxa" w:w="1701"/>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测试档位</w:t>
            </w:r>
          </w:p>
        </w:tc>
        <w:tc>
          <w:tcPr>
            <w:tcW w:type="dxa" w:w="7540"/>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数据规模</w:t>
            </w:r>
          </w:p>
        </w:tc>
      </w:tr>
      <w:tr>
        <w:tc>
          <w:tcPr>
            <w:tcW w:type="dxa" w:w="170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小型</w:t>
            </w:r>
          </w:p>
        </w:tc>
        <w:tc>
          <w:tcPr>
            <w:tcW w:type="dxa" w:w="754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30万字、100章、30个主要实体</w:t>
            </w:r>
          </w:p>
        </w:tc>
      </w:tr>
      <w:tr>
        <w:tc>
          <w:tcPr>
            <w:tcW w:type="dxa" w:w="170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中型</w:t>
            </w:r>
          </w:p>
        </w:tc>
        <w:tc>
          <w:tcPr>
            <w:tcW w:type="dxa" w:w="754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150万字、500章、150个实体、200条活跃或历史伏笔</w:t>
            </w:r>
          </w:p>
        </w:tc>
      </w:tr>
      <w:tr>
        <w:tc>
          <w:tcPr>
            <w:tcW w:type="dxa" w:w="170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超长</w:t>
            </w:r>
          </w:p>
        </w:tc>
        <w:tc>
          <w:tcPr>
            <w:tcW w:type="dxa" w:w="7540"/>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300万—500万字、1000—1500章、300—500个实体、多卷跨线剧情</w:t>
            </w:r>
          </w:p>
        </w:tc>
      </w:tr>
    </w:tbl>
    <w:tbl>
      <w:tblPr>
        <w:tblW w:type="auto" w:w="0"/>
        <w:jc w:val="center"/>
        <w:tblLayout w:type="autofit"/>
        <w:tblLook w:firstColumn="1" w:firstRow="1" w:lastColumn="0" w:lastRow="0" w:noHBand="0" w:noVBand="1" w:val="04A0"/>
      </w:tblPr>
      <w:tblGrid>
        <w:gridCol w:w="4819"/>
        <w:gridCol w:w="4819"/>
      </w:tblGrid>
      <w:tr>
        <w:trPr>
          <w:tblHeader w:val="true"/>
        </w:trPr>
        <w:tc>
          <w:tcPr>
            <w:tcW w:type="dxa" w:w="3969"/>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指标</w:t>
            </w:r>
          </w:p>
        </w:tc>
        <w:tc>
          <w:tcPr>
            <w:tcW w:type="dxa" w:w="5272"/>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首版门槛</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当前实体状态召回率</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≥98%</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已失效历史状态误注入率</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≤1%</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活跃伏笔召回率</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≥95%</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权威记录与摘要冲突时的优先级正确率</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100%</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约束包组装耗时（超长档，缓存可用）</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P95 ≤ 2秒</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FTS5返回前50条结果</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P95 ≤ 1秒</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旧章纯润色造成的错误大范围失效</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0次</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卷级检查点阻断无影响传播</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≥95%可终止案例正确终止</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日记条目来源可追溯率</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100%</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日记把未确认推测写成已确认事实的比例</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0%</w:t>
            </w:r>
          </w:p>
        </w:tc>
      </w:tr>
      <w:tr>
        <w:tc>
          <w:tcPr>
            <w:tcW w:type="dxa" w:w="3969"/>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日记增量重复率</w:t>
            </w:r>
          </w:p>
        </w:tc>
        <w:tc>
          <w:tcPr>
            <w:tcW w:type="dxa" w:w="527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≤5%</w:t>
            </w:r>
          </w:p>
        </w:tc>
      </w:tr>
    </w:tbl>
    <w:p>
      <w:pPr>
        <w:pStyle w:val="Heading2"/>
      </w:pPr>
      <w:r>
        <w:t>21.15 实施顺序与防止再次过度设计</w:t>
      </w:r>
    </w:p>
    <w:tbl>
      <w:tblPr>
        <w:tblW w:type="auto" w:w="0"/>
        <w:jc w:val="center"/>
        <w:tblLayout w:type="autofit"/>
        <w:tblLook w:firstColumn="1" w:firstRow="1" w:lastColumn="0" w:lastRow="0" w:noHBand="0" w:noVBand="1" w:val="04A0"/>
      </w:tblPr>
      <w:tblGrid>
        <w:gridCol w:w="4819"/>
        <w:gridCol w:w="4819"/>
      </w:tblGrid>
      <w:tr>
        <w:trPr>
          <w:tblHeader w:val="true"/>
        </w:trPr>
        <w:tc>
          <w:tcPr>
            <w:tcW w:type="dxa" w:w="2324"/>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阶段</w:t>
            </w:r>
          </w:p>
        </w:tc>
        <w:tc>
          <w:tcPr>
            <w:tcW w:type="dxa" w:w="6917"/>
            <w:vAlign w:val="center"/>
            <w:tcMar>
              <w:top w:w="80" w:type="dxa"/>
              <w:start w:w="100" w:type="dxa"/>
              <w:bottom w:w="80" w:type="dxa"/>
              <w:end w:w="100" w:type="dxa"/>
            </w:tcMar>
            <w:shd w:fill="DCE6E2"/>
          </w:tcPr>
          <w:p>
            <w:pPr>
              <w:spacing w:after="0" w:before="0"/>
            </w:pPr>
            <w:r>
              <w:rPr>
                <w:rFonts w:ascii="Noto Sans CJK SC" w:hAnsi="Noto Sans CJK SC" w:eastAsia="Noto Sans CJK SC"/>
                <w:b/>
                <w:color w:val="1C2F2B"/>
                <w:sz w:val="17"/>
              </w:rPr>
              <w:t>交付</w:t>
            </w:r>
          </w:p>
        </w:tc>
      </w:tr>
      <w:tr>
        <w:tc>
          <w:tcPr>
            <w:tcW w:type="dxa" w:w="2324"/>
            <w:vAlign w:val="center"/>
            <w:tcMar>
              <w:top w:w="80" w:type="dxa"/>
              <w:start w:w="100" w:type="dxa"/>
              <w:bottom w:w="80" w:type="dxa"/>
              <w:end w:w="100" w:type="dxa"/>
            </w:tcMar>
          </w:tcPr>
          <w:p>
            <w:r>
              <w:t>V1.5 M4A 时序状态</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entity_states增加有效期、状态覆盖和证据；完成当前/历史分离</w:t>
            </w:r>
          </w:p>
        </w:tc>
      </w:tr>
      <w:tr>
        <w:tc>
          <w:tcPr>
            <w:tcW w:type="dxa" w:w="2324"/>
            <w:vAlign w:val="center"/>
            <w:tcMar>
              <w:top w:w="80" w:type="dxa"/>
              <w:start w:w="100" w:type="dxa"/>
              <w:bottom w:w="80" w:type="dxa"/>
              <w:end w:w="100" w:type="dxa"/>
            </w:tcMar>
          </w:tcPr>
          <w:p>
            <w:r>
              <w:t>V1.5 M4B 分层摘要</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章节、剧情弧、卷摘要和热温冷标签；摘要不进入权威写入路径</w:t>
            </w:r>
          </w:p>
        </w:tc>
      </w:tr>
      <w:tr>
        <w:tc>
          <w:tcPr>
            <w:tcW w:type="dxa" w:w="2324"/>
            <w:vAlign w:val="center"/>
            <w:tcMar>
              <w:top w:w="80" w:type="dxa"/>
              <w:start w:w="100" w:type="dxa"/>
              <w:bottom w:w="80" w:type="dxa"/>
              <w:end w:w="100" w:type="dxa"/>
            </w:tcMar>
          </w:tcPr>
          <w:p>
            <w:r>
              <w:t>V1.5 M4C 检查点与失效</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卷级检查点、改动分类、有限传播和stale界面</w:t>
            </w:r>
          </w:p>
        </w:tc>
      </w:tr>
      <w:tr>
        <w:tc>
          <w:tcPr>
            <w:tcW w:type="dxa" w:w="2324"/>
            <w:vAlign w:val="center"/>
            <w:tcMar>
              <w:top w:w="80" w:type="dxa"/>
              <w:start w:w="100" w:type="dxa"/>
              <w:bottom w:w="80" w:type="dxa"/>
              <w:end w:w="100" w:type="dxa"/>
            </w:tcMar>
          </w:tcPr>
          <w:p>
            <w:r>
              <w:t>V1.5 M4D AI项目日记</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手动更新、事件触发、日记来源、确认和UI</w:t>
            </w:r>
          </w:p>
        </w:tc>
      </w:tr>
      <w:tr>
        <w:tc>
          <w:tcPr>
            <w:tcW w:type="dxa" w:w="2324"/>
            <w:vAlign w:val="center"/>
            <w:tcMar>
              <w:top w:w="80" w:type="dxa"/>
              <w:start w:w="100" w:type="dxa"/>
              <w:bottom w:w="80" w:type="dxa"/>
              <w:end w:w="100" w:type="dxa"/>
            </w:tcMar>
          </w:tcPr>
          <w:p>
            <w:r>
              <w:t>V1.5 M4E 定时与超长评测</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项目打开时补执行、三档压力测试和记忆召回Eval</w:t>
            </w:r>
          </w:p>
        </w:tc>
      </w:tr>
      <w:tr>
        <w:tc>
          <w:tcPr>
            <w:tcW w:type="dxa" w:w="2324"/>
            <w:vAlign w:val="center"/>
            <w:tcMar>
              <w:top w:w="80" w:type="dxa"/>
              <w:start w:w="100" w:type="dxa"/>
              <w:bottom w:w="80" w:type="dxa"/>
              <w:end w:w="100" w:type="dxa"/>
            </w:tcMar>
          </w:tcPr>
          <w:p>
            <w:r>
              <w:t>V1.5 条件项 语义召回</w:t>
            </w:r>
          </w:p>
        </w:tc>
        <w:tc>
          <w:tcPr>
            <w:tcW w:type="dxa" w:w="6917"/>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仅在中型/超长评测证明FTS5不足后立项；不影响前述数据模型</w:t>
            </w:r>
          </w:p>
        </w:tc>
      </w:tr>
    </w:tbl>
    <w:p>
      <w:pPr>
        <w:pStyle w:val="ListBullet"/>
      </w:pPr>
      <w:r>
        <w:rPr>
          <w:rFonts w:ascii="Noto Sans CJK SC" w:hAnsi="Noto Sans CJK SC" w:eastAsia="Noto Sans CJK SC"/>
        </w:rPr>
        <w:t>不新增独立“记忆服务器”；全部逻辑仍在Core Utility Process和project.sqlite内。</w:t>
      </w:r>
    </w:p>
    <w:p>
      <w:pPr>
        <w:pStyle w:val="ListBullet"/>
      </w:pPr>
      <w:r>
        <w:rPr>
          <w:rFonts w:ascii="Noto Sans CJK SC" w:hAnsi="Noto Sans CJK SC" w:eastAsia="Noto Sans CJK SC"/>
        </w:rPr>
        <w:t>不让AI项目日记成为新的必填工作流；作者可关闭或仅手动使用。</w:t>
      </w:r>
    </w:p>
    <w:p>
      <w:pPr>
        <w:pStyle w:val="ListBullet"/>
      </w:pPr>
      <w:r>
        <w:rPr>
          <w:rFonts w:ascii="Noto Sans CJK SC" w:hAnsi="Noto Sans CJK SC" w:eastAsia="Noto Sans CJK SC"/>
        </w:rPr>
        <w:t>不自动为每句正文建立状态；只跟踪作者确认的重要实体、事件和伏笔。</w:t>
      </w:r>
    </w:p>
    <w:p>
      <w:pPr>
        <w:pStyle w:val="ListBullet"/>
      </w:pPr>
      <w:r>
        <w:rPr>
          <w:rFonts w:ascii="Noto Sans CJK SC" w:hAnsi="Noto Sans CJK SC" w:eastAsia="Noto Sans CJK SC"/>
        </w:rPr>
        <w:t>不因“几百万字可能需要”就默认下载Embedding模型或引入向量数据库。</w:t>
      </w:r>
    </w:p>
    <w:p>
      <w:pPr>
        <w:pStyle w:val="ListBullet"/>
      </w:pPr>
      <w:r>
        <w:rPr>
          <w:rFonts w:ascii="Noto Sans CJK SC" w:hAnsi="Noto Sans CJK SC" w:eastAsia="Noto Sans CJK SC"/>
        </w:rPr>
        <w:t>不在应用关闭时创建常驻后台进程；错过的定时任务在下次打开项目时补执行。</w:t>
      </w:r>
    </w:p>
    <w:p>
      <w:pPr>
        <w:pStyle w:val="Heading1"/>
      </w:pPr>
      <w:r>
        <w:t>22. 实施安全、并发与高分屏适配冻结</w:t>
      </w:r>
    </w:p>
    <w:p>
      <w:pPr>
        <w:pStyle w:val="IntenseQuote"/>
      </w:pPr>
      <w:r>
        <w:t>本章是V6.4评估后的实施补丁。它不新增创作业务模块，只冻结发布范围、数据库并发、流式IPC、安全基线、备份完整性、导入隔离、模型质量分级，以及2K与曲面/超宽屏适配。与旧章节冲突时，以本章为准。</w:t>
      </w:r>
    </w:p>
    <w:p>
      <w:pPr>
        <w:pStyle w:val="Heading2"/>
      </w:pPr>
      <w:r>
        <w:t>22.1 发布范围重新冻结：V1.0与V1.5</w:t>
      </w:r>
    </w:p>
    <w:p>
      <w:r>
        <w:t>V6.4继续作为完整产品蓝图，但实际开发和发布拆为两个清晰阶段。V1.0只解决“单个作者能否安全、顺畅地完成长篇写作”；V1.5再解决数百万字自动记忆调度和定时项目日记。</w:t>
      </w:r>
    </w:p>
    <w:tbl>
      <w:tblPr>
        <w:tblStyle w:val="TableGrid"/>
        <w:tblW w:type="auto" w:w="0"/>
        <w:jc w:val="center"/>
        <w:tblLook w:firstColumn="1" w:firstRow="1" w:lastColumn="0" w:lastRow="0" w:noHBand="0" w:noVBand="1" w:val="04A0"/>
      </w:tblPr>
      <w:tblGrid>
        <w:gridCol w:w="3213"/>
        <w:gridCol w:w="3213"/>
        <w:gridCol w:w="3213"/>
      </w:tblGrid>
      <w:tr>
        <w:tc>
          <w:tcPr>
            <w:tcW w:type="dxa" w:w="1728"/>
            <w:vAlign w:val="center"/>
            <w:tcMar>
              <w:top w:w="80" w:type="dxa"/>
              <w:start w:w="100" w:type="dxa"/>
              <w:bottom w:w="80" w:type="dxa"/>
              <w:end w:w="100" w:type="dxa"/>
            </w:tcMar>
            <w:shd w:fill="DCE5EE"/>
          </w:tcPr>
          <w:p>
            <w:pPr>
              <w:spacing w:after="0" w:before="0"/>
            </w:pPr>
            <w:r>
              <w:rPr>
                <w:b/>
                <w:color w:val="233044"/>
                <w:sz w:val="18"/>
              </w:rPr>
              <w:t>版本</w:t>
            </w:r>
          </w:p>
        </w:tc>
        <w:tc>
          <w:tcPr>
            <w:tcW w:type="dxa" w:w="5040"/>
            <w:vAlign w:val="center"/>
            <w:tcMar>
              <w:top w:w="80" w:type="dxa"/>
              <w:start w:w="100" w:type="dxa"/>
              <w:bottom w:w="80" w:type="dxa"/>
              <w:end w:w="100" w:type="dxa"/>
            </w:tcMar>
            <w:shd w:fill="DCE5EE"/>
          </w:tcPr>
          <w:p>
            <w:pPr>
              <w:spacing w:after="0" w:before="0"/>
            </w:pPr>
            <w:r>
              <w:rPr>
                <w:b/>
                <w:color w:val="233044"/>
                <w:sz w:val="18"/>
              </w:rPr>
              <w:t>必须交付</w:t>
            </w:r>
          </w:p>
        </w:tc>
        <w:tc>
          <w:tcPr>
            <w:tcW w:type="dxa" w:w="3312"/>
            <w:vAlign w:val="center"/>
            <w:tcMar>
              <w:top w:w="80" w:type="dxa"/>
              <w:start w:w="100" w:type="dxa"/>
              <w:bottom w:w="80" w:type="dxa"/>
              <w:end w:w="100" w:type="dxa"/>
            </w:tcMar>
            <w:shd w:fill="DCE5EE"/>
          </w:tcPr>
          <w:p>
            <w:pPr>
              <w:spacing w:after="0" w:before="0"/>
            </w:pPr>
            <w:r>
              <w:rPr>
                <w:b/>
                <w:color w:val="233044"/>
                <w:sz w:val="18"/>
              </w:rPr>
              <w:t>明确延后</w:t>
            </w:r>
          </w:p>
        </w:tc>
        <w:trPr>
          <w:tblHeader/>
          <w:cantSplit/>
        </w:trPr>
      </w:tr>
      <w:tr>
        <w:trPr>
          <w:cantSplit/>
        </w:trPr>
        <w:tc>
          <w:tcPr>
            <w:tcW w:type="dxa" w:w="1728"/>
            <w:vAlign w:val="center"/>
            <w:tcMar>
              <w:top w:w="80" w:type="dxa"/>
              <w:start w:w="100" w:type="dxa"/>
              <w:bottom w:w="80" w:type="dxa"/>
              <w:end w:w="100" w:type="dxa"/>
            </w:tcMar>
          </w:tcPr>
          <w:p>
            <w:pPr>
              <w:spacing w:after="0" w:before="0"/>
            </w:pPr>
            <w:r>
              <w:rPr>
                <w:sz w:val="18"/>
              </w:rPr>
              <w:t>V1.0 核心闭环</w:t>
            </w:r>
          </w:p>
        </w:tc>
        <w:tc>
          <w:tcPr>
            <w:tcW w:type="dxa" w:w="5040"/>
            <w:vAlign w:val="center"/>
            <w:tcMar>
              <w:top w:w="80" w:type="dxa"/>
              <w:start w:w="100" w:type="dxa"/>
              <w:bottom w:w="80" w:type="dxa"/>
              <w:end w:w="100" w:type="dxa"/>
            </w:tcMar>
          </w:tcPr>
          <w:p>
            <w:pPr>
              <w:spacing w:after="0" w:before="0"/>
            </w:pPr>
            <w:r>
              <w:rPr>
                <w:sz w:val="18"/>
              </w:rPr>
              <w:t>项目/卷/章/场景；Draft/Candidate/Version；块级编辑与锁定；人物与基础设定；T0/T1/局部改写；前章尾状态；基础连续性；导入导出；回收站；三轨备份；手动项目日记及定稿后日记候选</w:t>
            </w:r>
          </w:p>
        </w:tc>
        <w:tc>
          <w:tcPr>
            <w:tcW w:type="dxa" w:w="3312"/>
            <w:vAlign w:val="center"/>
            <w:tcMar>
              <w:top w:w="80" w:type="dxa"/>
              <w:start w:w="100" w:type="dxa"/>
              <w:bottom w:w="80" w:type="dxa"/>
              <w:end w:w="100" w:type="dxa"/>
            </w:tcMar>
          </w:tcPr>
          <w:p>
            <w:pPr>
              <w:spacing w:after="0" w:before="0"/>
            </w:pPr>
            <w:r>
              <w:rPr>
                <w:sz w:val="18"/>
              </w:rPr>
              <w:t>完整L0—L5自动调度、热温冷自动迁移、卷级检查点传播、每日/每周/每N章定时日记、300万—500万字专项优化、语义召回</w:t>
            </w:r>
          </w:p>
        </w:tc>
      </w:tr>
      <w:tr>
        <w:trPr>
          <w:cantSplit/>
        </w:trPr>
        <w:tc>
          <w:tcPr>
            <w:tcW w:type="dxa" w:w="1728"/>
            <w:vAlign w:val="center"/>
            <w:tcMar>
              <w:top w:w="80" w:type="dxa"/>
              <w:start w:w="100" w:type="dxa"/>
              <w:bottom w:w="80" w:type="dxa"/>
              <w:end w:w="100" w:type="dxa"/>
            </w:tcMar>
            <w:shd w:fill="F6F7F8"/>
          </w:tcPr>
          <w:p>
            <w:pPr>
              <w:spacing w:after="0" w:before="0"/>
            </w:pPr>
            <w:r>
              <w:rPr>
                <w:sz w:val="18"/>
              </w:rPr>
              <w:t>V1.5 超长篇增强</w:t>
            </w:r>
          </w:p>
        </w:tc>
        <w:tc>
          <w:tcPr>
            <w:tcW w:type="dxa" w:w="5040"/>
            <w:vAlign w:val="center"/>
            <w:tcMar>
              <w:top w:w="80" w:type="dxa"/>
              <w:start w:w="100" w:type="dxa"/>
              <w:bottom w:w="80" w:type="dxa"/>
              <w:end w:w="100" w:type="dxa"/>
            </w:tcMar>
            <w:shd w:fill="F6F7F8"/>
          </w:tcPr>
          <w:p>
            <w:pPr>
              <w:spacing w:after="0" w:before="0"/>
            </w:pPr>
            <w:r>
              <w:rPr>
                <w:sz w:val="18"/>
              </w:rPr>
              <w:t>时序状态历史账本、剧情弧/卷摘要、卷级检查点、定时项目日记、超长篇压力评测、条件性语义召回、可选加密项目评估</w:t>
            </w:r>
          </w:p>
        </w:tc>
        <w:tc>
          <w:tcPr>
            <w:tcW w:type="dxa" w:w="3312"/>
            <w:vAlign w:val="center"/>
            <w:tcMar>
              <w:top w:w="80" w:type="dxa"/>
              <w:start w:w="100" w:type="dxa"/>
              <w:bottom w:w="80" w:type="dxa"/>
              <w:end w:w="100" w:type="dxa"/>
            </w:tcMar>
            <w:shd w:fill="F6F7F8"/>
          </w:tcPr>
          <w:p>
            <w:pPr>
              <w:spacing w:after="0" w:before="0"/>
            </w:pPr>
            <w:r>
              <w:rPr>
                <w:sz w:val="18"/>
              </w:rPr>
              <w:t>不得反向破坏V1.0数据模型和作者确认边界</w:t>
            </w:r>
          </w:p>
        </w:tc>
      </w:tr>
    </w:tbl>
    <w:p>
      <w:pPr>
        <w:pStyle w:val="IntenseQuote"/>
      </w:pPr>
      <w:r>
        <w:t>V1.0发布不得等待M4A—M4E。AI项目日记在V1.0只保留“手动更新”和“章节定稿后生成候选”两条路径。</w:t>
      </w:r>
    </w:p>
    <w:p>
      <w:pPr>
        <w:pStyle w:val="Heading2"/>
      </w:pPr>
      <w:r>
        <w:t>22.2 Core进程并发与SQLite运行规范</w:t>
      </w:r>
    </w:p>
    <w:p>
      <w:r>
        <w:t>V1.0继续使用单一Core Utility Process，但内部必须把异步AI网络流与权威数据写入分离。AI流不直接写Draft；所有SQLite写事务进入单一串行写队列。</w:t>
      </w:r>
    </w:p>
    <w:tbl>
      <w:tblPr>
        <w:tblStyle w:val="TableGrid"/>
        <w:tblW w:type="auto" w:w="0"/>
        <w:jc w:val="center"/>
        <w:tblLook w:firstColumn="1" w:firstRow="1" w:lastColumn="0" w:lastRow="0" w:noHBand="0" w:noVBand="1" w:val="04A0"/>
      </w:tblPr>
      <w:tblGrid>
        <w:gridCol w:w="3213"/>
        <w:gridCol w:w="3213"/>
        <w:gridCol w:w="3213"/>
      </w:tblGrid>
      <w:tr>
        <w:tc>
          <w:tcPr>
            <w:tcW w:type="dxa" w:w="2016"/>
            <w:vAlign w:val="center"/>
            <w:tcMar>
              <w:top w:w="80" w:type="dxa"/>
              <w:start w:w="100" w:type="dxa"/>
              <w:bottom w:w="80" w:type="dxa"/>
              <w:end w:w="100" w:type="dxa"/>
            </w:tcMar>
            <w:shd w:fill="DCE5EE"/>
          </w:tcPr>
          <w:p>
            <w:pPr>
              <w:spacing w:after="0" w:before="0"/>
            </w:pPr>
            <w:r>
              <w:rPr>
                <w:b/>
                <w:color w:val="233044"/>
                <w:sz w:val="18"/>
              </w:rPr>
              <w:t>通道</w:t>
            </w:r>
          </w:p>
        </w:tc>
        <w:tc>
          <w:tcPr>
            <w:tcW w:type="dxa" w:w="3744"/>
            <w:vAlign w:val="center"/>
            <w:tcMar>
              <w:top w:w="80" w:type="dxa"/>
              <w:start w:w="100" w:type="dxa"/>
              <w:bottom w:w="80" w:type="dxa"/>
              <w:end w:w="100" w:type="dxa"/>
            </w:tcMar>
            <w:shd w:fill="DCE5EE"/>
          </w:tcPr>
          <w:p>
            <w:pPr>
              <w:spacing w:after="0" w:before="0"/>
            </w:pPr>
            <w:r>
              <w:rPr>
                <w:b/>
                <w:color w:val="233044"/>
                <w:sz w:val="18"/>
              </w:rPr>
              <w:t>职责</w:t>
            </w:r>
          </w:p>
        </w:tc>
        <w:tc>
          <w:tcPr>
            <w:tcW w:type="dxa" w:w="4320"/>
            <w:vAlign w:val="center"/>
            <w:tcMar>
              <w:top w:w="80" w:type="dxa"/>
              <w:start w:w="100" w:type="dxa"/>
              <w:bottom w:w="80" w:type="dxa"/>
              <w:end w:w="100" w:type="dxa"/>
            </w:tcMar>
            <w:shd w:fill="DCE5EE"/>
          </w:tcPr>
          <w:p>
            <w:pPr>
              <w:spacing w:after="0" w:before="0"/>
            </w:pPr>
            <w:r>
              <w:rPr>
                <w:b/>
                <w:color w:val="233044"/>
                <w:sz w:val="18"/>
              </w:rPr>
              <w:t>约束</w:t>
            </w:r>
          </w:p>
        </w:tc>
        <w:trPr>
          <w:tblHeader/>
          <w:cantSplit/>
        </w:trPr>
      </w:tr>
      <w:tr>
        <w:trPr>
          <w:cantSplit/>
        </w:trPr>
        <w:tc>
          <w:tcPr>
            <w:tcW w:type="dxa" w:w="2016"/>
            <w:vAlign w:val="center"/>
            <w:tcMar>
              <w:top w:w="80" w:type="dxa"/>
              <w:start w:w="100" w:type="dxa"/>
              <w:bottom w:w="80" w:type="dxa"/>
              <w:end w:w="100" w:type="dxa"/>
            </w:tcMar>
          </w:tcPr>
          <w:p>
            <w:pPr>
              <w:spacing w:after="0" w:before="0"/>
            </w:pPr>
            <w:r>
              <w:rPr>
                <w:sz w:val="18"/>
              </w:rPr>
              <w:t>AI异步通道</w:t>
            </w:r>
          </w:p>
        </w:tc>
        <w:tc>
          <w:tcPr>
            <w:tcW w:type="dxa" w:w="3744"/>
            <w:vAlign w:val="center"/>
            <w:tcMar>
              <w:top w:w="80" w:type="dxa"/>
              <w:start w:w="100" w:type="dxa"/>
              <w:bottom w:w="80" w:type="dxa"/>
              <w:end w:w="100" w:type="dxa"/>
            </w:tcMar>
          </w:tcPr>
          <w:p>
            <w:pPr>
              <w:spacing w:after="0" w:before="0"/>
            </w:pPr>
            <w:r>
              <w:rPr>
                <w:sz w:val="18"/>
              </w:rPr>
              <w:t>调用模型、接收流、结构化解析、阶段反馈</w:t>
            </w:r>
          </w:p>
        </w:tc>
        <w:tc>
          <w:tcPr>
            <w:tcW w:type="dxa" w:w="4320"/>
            <w:vAlign w:val="center"/>
            <w:tcMar>
              <w:top w:w="80" w:type="dxa"/>
              <w:start w:w="100" w:type="dxa"/>
              <w:bottom w:w="80" w:type="dxa"/>
              <w:end w:w="100" w:type="dxa"/>
            </w:tcMar>
          </w:tcPr>
          <w:p>
            <w:pPr>
              <w:spacing w:after="0" w:before="0"/>
            </w:pPr>
            <w:r>
              <w:rPr>
                <w:sz w:val="18"/>
              </w:rPr>
              <w:t>只写临时缓冲；完成后提交Candidate持久化命令</w:t>
            </w:r>
          </w:p>
        </w:tc>
      </w:tr>
      <w:tr>
        <w:trPr>
          <w:cantSplit/>
        </w:trPr>
        <w:tc>
          <w:tcPr>
            <w:tcW w:type="dxa" w:w="2016"/>
            <w:vAlign w:val="center"/>
            <w:tcMar>
              <w:top w:w="80" w:type="dxa"/>
              <w:start w:w="100" w:type="dxa"/>
              <w:bottom w:w="80" w:type="dxa"/>
              <w:end w:w="100" w:type="dxa"/>
            </w:tcMar>
            <w:shd w:fill="F6F7F8"/>
          </w:tcPr>
          <w:p>
            <w:pPr>
              <w:spacing w:after="0" w:before="0"/>
            </w:pPr>
            <w:r>
              <w:rPr>
                <w:sz w:val="18"/>
              </w:rPr>
              <w:t>数据库写队列</w:t>
            </w:r>
          </w:p>
        </w:tc>
        <w:tc>
          <w:tcPr>
            <w:tcW w:type="dxa" w:w="3744"/>
            <w:vAlign w:val="center"/>
            <w:tcMar>
              <w:top w:w="80" w:type="dxa"/>
              <w:start w:w="100" w:type="dxa"/>
              <w:bottom w:w="80" w:type="dxa"/>
              <w:end w:w="100" w:type="dxa"/>
            </w:tcMar>
            <w:shd w:fill="F6F7F8"/>
          </w:tcPr>
          <w:p>
            <w:pPr>
              <w:spacing w:after="0" w:before="0"/>
            </w:pPr>
            <w:r>
              <w:rPr>
                <w:sz w:val="18"/>
              </w:rPr>
              <w:t>自动保存、Candidate入库、接受候选、定稿、状态确认、备份元数据</w:t>
            </w:r>
          </w:p>
        </w:tc>
        <w:tc>
          <w:tcPr>
            <w:tcW w:type="dxa" w:w="4320"/>
            <w:vAlign w:val="center"/>
            <w:tcMar>
              <w:top w:w="80" w:type="dxa"/>
              <w:start w:w="100" w:type="dxa"/>
              <w:bottom w:w="80" w:type="dxa"/>
              <w:end w:w="100" w:type="dxa"/>
            </w:tcMar>
            <w:shd w:fill="F6F7F8"/>
          </w:tcPr>
          <w:p>
            <w:pPr>
              <w:spacing w:after="0" w:before="0"/>
            </w:pPr>
            <w:r>
              <w:rPr>
                <w:sz w:val="18"/>
              </w:rPr>
              <w:t>单写者、短事务、按优先级串行；任何写入先校验projectId与Revision</w:t>
            </w:r>
          </w:p>
        </w:tc>
      </w:tr>
      <w:tr>
        <w:trPr>
          <w:cantSplit/>
        </w:trPr>
        <w:tc>
          <w:tcPr>
            <w:tcW w:type="dxa" w:w="2016"/>
            <w:vAlign w:val="center"/>
            <w:tcMar>
              <w:top w:w="80" w:type="dxa"/>
              <w:start w:w="100" w:type="dxa"/>
              <w:bottom w:w="80" w:type="dxa"/>
              <w:end w:w="100" w:type="dxa"/>
            </w:tcMar>
          </w:tcPr>
          <w:p>
            <w:pPr>
              <w:spacing w:after="0" w:before="0"/>
            </w:pPr>
            <w:r>
              <w:rPr>
                <w:sz w:val="18"/>
              </w:rPr>
              <w:t>只读查询</w:t>
            </w:r>
          </w:p>
        </w:tc>
        <w:tc>
          <w:tcPr>
            <w:tcW w:type="dxa" w:w="3744"/>
            <w:vAlign w:val="center"/>
            <w:tcMar>
              <w:top w:w="80" w:type="dxa"/>
              <w:start w:w="100" w:type="dxa"/>
              <w:bottom w:w="80" w:type="dxa"/>
              <w:end w:w="100" w:type="dxa"/>
            </w:tcMar>
          </w:tcPr>
          <w:p>
            <w:pPr>
              <w:spacing w:after="0" w:before="0"/>
            </w:pPr>
            <w:r>
              <w:rPr>
                <w:sz w:val="18"/>
              </w:rPr>
              <w:t>章节读取、FTS5、设定查询、候选读取</w:t>
            </w:r>
          </w:p>
        </w:tc>
        <w:tc>
          <w:tcPr>
            <w:tcW w:type="dxa" w:w="4320"/>
            <w:vAlign w:val="center"/>
            <w:tcMar>
              <w:top w:w="80" w:type="dxa"/>
              <w:start w:w="100" w:type="dxa"/>
              <w:bottom w:w="80" w:type="dxa"/>
              <w:end w:w="100" w:type="dxa"/>
            </w:tcMar>
          </w:tcPr>
          <w:p>
            <w:pPr>
              <w:spacing w:after="0" w:before="0"/>
            </w:pPr>
            <w:r>
              <w:rPr>
                <w:sz w:val="18"/>
              </w:rPr>
              <w:t>使用只读连接或短读事务；不得持有长事务阻塞检查点</w:t>
            </w:r>
          </w:p>
        </w:tc>
      </w:tr>
    </w:tbl>
    <w:p>
      <w:pPr/>
      <w:r>
        <w:t>数据库打开时冻结以下配置：</w:t>
      </w:r>
    </w:p>
    <w:p>
      <w:pPr>
        <w:pStyle w:val="MacroText"/>
      </w:pPr>
      <w:r>
        <w:t>PRAGMA journal_mode = WAL;</w:t>
      </w:r>
    </w:p>
    <w:p>
      <w:pPr>
        <w:pStyle w:val="MacroText"/>
      </w:pPr>
      <w:r>
        <w:t>PRAGMA foreign_keys = ON;</w:t>
      </w:r>
    </w:p>
    <w:p>
      <w:pPr>
        <w:pStyle w:val="MacroText"/>
      </w:pPr>
      <w:r>
        <w:t>PRAGMA busy_timeout = 5000;</w:t>
      </w:r>
    </w:p>
    <w:p>
      <w:pPr>
        <w:pStyle w:val="MacroText"/>
      </w:pPr>
      <w:r>
        <w:t>PRAGMA synchronous = NORMAL;</w:t>
      </w:r>
    </w:p>
    <w:p>
      <w:pPr>
        <w:pStyle w:val="MacroText"/>
      </w:pPr>
      <w:r>
        <w:t>PRAGMA wal_autocheckpoint = 1000;  // 原型压测后可调整</w:t>
      </w:r>
    </w:p>
    <w:p>
      <w:pPr>
        <w:pStyle w:val="ListBullet"/>
      </w:pPr>
      <w:r>
        <w:t>自动保存采用800ms空闲触发、最长2秒兜底；一次批次无论修改多少块，只提交一个Draft事务。</w:t>
      </w:r>
    </w:p>
    <w:p>
      <w:pPr>
        <w:pStyle w:val="ListBullet"/>
      </w:pPr>
      <w:r>
        <w:t>Candidate流式完成后一次性持久化；不得逐Token或逐句写SQLite。</w:t>
      </w:r>
    </w:p>
    <w:p>
      <w:pPr>
        <w:pStyle w:val="ListBullet"/>
      </w:pPr>
      <w:r>
        <w:t>定稿、候选采用、批量替换、章节拆并属于高优先级写事务；自动保存不得插队破坏原子操作。</w:t>
      </w:r>
    </w:p>
    <w:p>
      <w:pPr>
        <w:pStyle w:val="ListBullet"/>
      </w:pPr>
      <w:r>
        <w:t>项目切换、关窗和崩溃恢复时，Core先清空已接受的写队列，再关闭连接；未完成AI流保存为partial或取消。</w:t>
      </w:r>
    </w:p>
    <w:p>
      <w:pPr>
        <w:pStyle w:val="Heading2"/>
      </w:pPr>
      <w:r>
        <w:t>22.3 Core拆分的量化触发条件</w:t>
      </w:r>
    </w:p>
    <w:p>
      <w:r>
        <w:t>单Core方案只在真实指标满足时拆分AI进程。以下任一指标连续出现即建立独立AI Utility Process，不再依赖主观判断：</w:t>
      </w:r>
    </w:p>
    <w:tbl>
      <w:tblPr>
        <w:tblStyle w:val="TableGrid"/>
        <w:tblW w:type="auto" w:w="0"/>
        <w:jc w:val="center"/>
        <w:tblLook w:firstColumn="1" w:firstRow="1" w:lastColumn="0" w:lastRow="0" w:noHBand="0" w:noVBand="1" w:val="04A0"/>
      </w:tblPr>
      <w:tblGrid>
        <w:gridCol w:w="3213"/>
        <w:gridCol w:w="3213"/>
        <w:gridCol w:w="3213"/>
      </w:tblGrid>
      <w:tr>
        <w:tc>
          <w:tcPr>
            <w:tcW w:type="dxa" w:w="2016"/>
            <w:vAlign w:val="center"/>
            <w:tcMar>
              <w:top w:w="80" w:type="dxa"/>
              <w:start w:w="100" w:type="dxa"/>
              <w:bottom w:w="80" w:type="dxa"/>
              <w:end w:w="100" w:type="dxa"/>
            </w:tcMar>
            <w:shd w:fill="DCE5EE"/>
          </w:tcPr>
          <w:p>
            <w:pPr>
              <w:spacing w:after="0" w:before="0"/>
            </w:pPr>
            <w:r>
              <w:rPr>
                <w:b/>
                <w:color w:val="233044"/>
                <w:sz w:val="18"/>
              </w:rPr>
              <w:t>指标</w:t>
            </w:r>
          </w:p>
        </w:tc>
        <w:tc>
          <w:tcPr>
            <w:tcW w:type="dxa" w:w="3168"/>
            <w:vAlign w:val="center"/>
            <w:tcMar>
              <w:top w:w="80" w:type="dxa"/>
              <w:start w:w="100" w:type="dxa"/>
              <w:bottom w:w="80" w:type="dxa"/>
              <w:end w:w="100" w:type="dxa"/>
            </w:tcMar>
            <w:shd w:fill="DCE5EE"/>
          </w:tcPr>
          <w:p>
            <w:pPr>
              <w:spacing w:after="0" w:before="0"/>
            </w:pPr>
            <w:r>
              <w:rPr>
                <w:b/>
                <w:color w:val="233044"/>
                <w:sz w:val="18"/>
              </w:rPr>
              <w:t>触发阈值</w:t>
            </w:r>
          </w:p>
        </w:tc>
        <w:tc>
          <w:tcPr>
            <w:tcW w:type="dxa" w:w="4896"/>
            <w:vAlign w:val="center"/>
            <w:tcMar>
              <w:top w:w="80" w:type="dxa"/>
              <w:start w:w="100" w:type="dxa"/>
              <w:bottom w:w="80" w:type="dxa"/>
              <w:end w:w="100" w:type="dxa"/>
            </w:tcMar>
            <w:shd w:fill="DCE5EE"/>
          </w:tcPr>
          <w:p>
            <w:pPr>
              <w:spacing w:after="0" w:before="0"/>
            </w:pPr>
            <w:r>
              <w:rPr>
                <w:b/>
                <w:color w:val="233044"/>
                <w:sz w:val="18"/>
              </w:rPr>
              <w:t>测量方法</w:t>
            </w:r>
          </w:p>
        </w:tc>
        <w:trPr>
          <w:tblHeader/>
          <w:cantSplit/>
        </w:trPr>
      </w:tr>
      <w:tr>
        <w:trPr>
          <w:cantSplit/>
        </w:trPr>
        <w:tc>
          <w:tcPr>
            <w:tcW w:type="dxa" w:w="2016"/>
            <w:vAlign w:val="center"/>
            <w:tcMar>
              <w:top w:w="80" w:type="dxa"/>
              <w:start w:w="100" w:type="dxa"/>
              <w:bottom w:w="80" w:type="dxa"/>
              <w:end w:w="100" w:type="dxa"/>
            </w:tcMar>
          </w:tcPr>
          <w:p>
            <w:pPr>
              <w:spacing w:after="0" w:before="0"/>
            </w:pPr>
            <w:r>
              <w:rPr>
                <w:sz w:val="18"/>
              </w:rPr>
              <w:t>编辑IPC响应</w:t>
            </w:r>
          </w:p>
        </w:tc>
        <w:tc>
          <w:tcPr>
            <w:tcW w:type="dxa" w:w="3168"/>
            <w:vAlign w:val="center"/>
            <w:tcMar>
              <w:top w:w="80" w:type="dxa"/>
              <w:start w:w="100" w:type="dxa"/>
              <w:bottom w:w="80" w:type="dxa"/>
              <w:end w:w="100" w:type="dxa"/>
            </w:tcMar>
          </w:tcPr>
          <w:p>
            <w:pPr>
              <w:spacing w:after="0" w:before="0"/>
            </w:pPr>
            <w:r>
              <w:rPr>
                <w:sz w:val="18"/>
              </w:rPr>
              <w:t>AI生成期间P95持续高于200ms</w:t>
            </w:r>
          </w:p>
        </w:tc>
        <w:tc>
          <w:tcPr>
            <w:tcW w:type="dxa" w:w="4896"/>
            <w:vAlign w:val="center"/>
            <w:tcMar>
              <w:top w:w="80" w:type="dxa"/>
              <w:start w:w="100" w:type="dxa"/>
              <w:bottom w:w="80" w:type="dxa"/>
              <w:end w:w="100" w:type="dxa"/>
            </w:tcMar>
          </w:tcPr>
          <w:p>
            <w:pPr>
              <w:spacing w:after="0" w:before="0"/>
            </w:pPr>
            <w:r>
              <w:rPr>
                <w:sz w:val="18"/>
              </w:rPr>
              <w:t>记录Renderer命令发出到Core响应的本地延迟</w:t>
            </w:r>
          </w:p>
        </w:tc>
      </w:tr>
      <w:tr>
        <w:trPr>
          <w:cantSplit/>
        </w:trPr>
        <w:tc>
          <w:tcPr>
            <w:tcW w:type="dxa" w:w="2016"/>
            <w:vAlign w:val="center"/>
            <w:tcMar>
              <w:top w:w="80" w:type="dxa"/>
              <w:start w:w="100" w:type="dxa"/>
              <w:bottom w:w="80" w:type="dxa"/>
              <w:end w:w="100" w:type="dxa"/>
            </w:tcMar>
            <w:shd w:fill="F6F7F8"/>
          </w:tcPr>
          <w:p>
            <w:pPr>
              <w:spacing w:after="0" w:before="0"/>
            </w:pPr>
            <w:r>
              <w:rPr>
                <w:sz w:val="18"/>
              </w:rPr>
              <w:t>自动保存事务</w:t>
            </w:r>
          </w:p>
        </w:tc>
        <w:tc>
          <w:tcPr>
            <w:tcW w:type="dxa" w:w="3168"/>
            <w:vAlign w:val="center"/>
            <w:tcMar>
              <w:top w:w="80" w:type="dxa"/>
              <w:start w:w="100" w:type="dxa"/>
              <w:bottom w:w="80" w:type="dxa"/>
              <w:end w:w="100" w:type="dxa"/>
            </w:tcMar>
            <w:shd w:fill="F6F7F8"/>
          </w:tcPr>
          <w:p>
            <w:pPr>
              <w:spacing w:after="0" w:before="0"/>
            </w:pPr>
            <w:r>
              <w:rPr>
                <w:sz w:val="18"/>
              </w:rPr>
              <w:t>P95高于150ms，或出现连续busy重试</w:t>
            </w:r>
          </w:p>
        </w:tc>
        <w:tc>
          <w:tcPr>
            <w:tcW w:type="dxa" w:w="4896"/>
            <w:vAlign w:val="center"/>
            <w:tcMar>
              <w:top w:w="80" w:type="dxa"/>
              <w:start w:w="100" w:type="dxa"/>
              <w:bottom w:w="80" w:type="dxa"/>
              <w:end w:w="100" w:type="dxa"/>
            </w:tcMar>
            <w:shd w:fill="F6F7F8"/>
          </w:tcPr>
          <w:p>
            <w:pPr>
              <w:spacing w:after="0" w:before="0"/>
            </w:pPr>
            <w:r>
              <w:rPr>
                <w:sz w:val="18"/>
              </w:rPr>
              <w:t>记录写队列等待与SQLite事务耗时</w:t>
            </w:r>
          </w:p>
        </w:tc>
      </w:tr>
      <w:tr>
        <w:trPr>
          <w:cantSplit/>
        </w:trPr>
        <w:tc>
          <w:tcPr>
            <w:tcW w:type="dxa" w:w="2016"/>
            <w:vAlign w:val="center"/>
            <w:tcMar>
              <w:top w:w="80" w:type="dxa"/>
              <w:start w:w="100" w:type="dxa"/>
              <w:bottom w:w="80" w:type="dxa"/>
              <w:end w:w="100" w:type="dxa"/>
            </w:tcMar>
          </w:tcPr>
          <w:p>
            <w:pPr>
              <w:spacing w:after="0" w:before="0"/>
            </w:pPr>
            <w:r>
              <w:rPr>
                <w:sz w:val="18"/>
              </w:rPr>
              <w:t>事件循环阻塞</w:t>
            </w:r>
          </w:p>
        </w:tc>
        <w:tc>
          <w:tcPr>
            <w:tcW w:type="dxa" w:w="3168"/>
            <w:vAlign w:val="center"/>
            <w:tcMar>
              <w:top w:w="80" w:type="dxa"/>
              <w:start w:w="100" w:type="dxa"/>
              <w:bottom w:w="80" w:type="dxa"/>
              <w:end w:w="100" w:type="dxa"/>
            </w:tcMar>
          </w:tcPr>
          <w:p>
            <w:pPr>
              <w:spacing w:after="0" w:before="0"/>
            </w:pPr>
            <w:r>
              <w:rPr>
                <w:sz w:val="18"/>
              </w:rPr>
              <w:t>单次AI解析/差异计算连续阻塞超过100ms</w:t>
            </w:r>
          </w:p>
        </w:tc>
        <w:tc>
          <w:tcPr>
            <w:tcW w:type="dxa" w:w="4896"/>
            <w:vAlign w:val="center"/>
            <w:tcMar>
              <w:top w:w="80" w:type="dxa"/>
              <w:start w:w="100" w:type="dxa"/>
              <w:bottom w:w="80" w:type="dxa"/>
              <w:end w:w="100" w:type="dxa"/>
            </w:tcMar>
          </w:tcPr>
          <w:p>
            <w:pPr>
              <w:spacing w:after="0" w:before="0"/>
            </w:pPr>
            <w:r>
              <w:rPr>
                <w:sz w:val="18"/>
              </w:rPr>
              <w:t>Node event-loop delay与任务埋点</w:t>
            </w:r>
          </w:p>
        </w:tc>
      </w:tr>
      <w:tr>
        <w:trPr>
          <w:cantSplit/>
        </w:trPr>
        <w:tc>
          <w:tcPr>
            <w:tcW w:type="dxa" w:w="2016"/>
            <w:vAlign w:val="center"/>
            <w:tcMar>
              <w:top w:w="80" w:type="dxa"/>
              <w:start w:w="100" w:type="dxa"/>
              <w:bottom w:w="80" w:type="dxa"/>
              <w:end w:w="100" w:type="dxa"/>
            </w:tcMar>
            <w:shd w:fill="F6F7F8"/>
          </w:tcPr>
          <w:p>
            <w:pPr>
              <w:spacing w:after="0" w:before="0"/>
            </w:pPr>
            <w:r>
              <w:rPr>
                <w:sz w:val="18"/>
              </w:rPr>
              <w:t>取消响应</w:t>
            </w:r>
          </w:p>
        </w:tc>
        <w:tc>
          <w:tcPr>
            <w:tcW w:type="dxa" w:w="3168"/>
            <w:vAlign w:val="center"/>
            <w:tcMar>
              <w:top w:w="80" w:type="dxa"/>
              <w:start w:w="100" w:type="dxa"/>
              <w:bottom w:w="80" w:type="dxa"/>
              <w:end w:w="100" w:type="dxa"/>
            </w:tcMar>
            <w:shd w:fill="F6F7F8"/>
          </w:tcPr>
          <w:p>
            <w:pPr>
              <w:spacing w:after="0" w:before="0"/>
            </w:pPr>
            <w:r>
              <w:rPr>
                <w:sz w:val="18"/>
              </w:rPr>
              <w:t>发出取消后500ms内不能停止读取和更新UI</w:t>
            </w:r>
          </w:p>
        </w:tc>
        <w:tc>
          <w:tcPr>
            <w:tcW w:type="dxa" w:w="4896"/>
            <w:vAlign w:val="center"/>
            <w:tcMar>
              <w:top w:w="80" w:type="dxa"/>
              <w:start w:w="100" w:type="dxa"/>
              <w:bottom w:w="80" w:type="dxa"/>
              <w:end w:w="100" w:type="dxa"/>
            </w:tcMar>
            <w:shd w:fill="F6F7F8"/>
          </w:tcPr>
          <w:p>
            <w:pPr>
              <w:spacing w:after="0" w:before="0"/>
            </w:pPr>
            <w:r>
              <w:rPr>
                <w:sz w:val="18"/>
              </w:rPr>
              <w:t>AI运行E2E测试</w:t>
            </w:r>
          </w:p>
        </w:tc>
      </w:tr>
      <w:tr>
        <w:trPr>
          <w:cantSplit/>
        </w:trPr>
        <w:tc>
          <w:tcPr>
            <w:tcW w:type="dxa" w:w="2016"/>
            <w:vAlign w:val="center"/>
            <w:tcMar>
              <w:top w:w="80" w:type="dxa"/>
              <w:start w:w="100" w:type="dxa"/>
              <w:bottom w:w="80" w:type="dxa"/>
              <w:end w:w="100" w:type="dxa"/>
            </w:tcMar>
          </w:tcPr>
          <w:p>
            <w:pPr>
              <w:spacing w:after="0" w:before="0"/>
            </w:pPr>
            <w:r>
              <w:rPr>
                <w:sz w:val="18"/>
              </w:rPr>
              <w:t>编辑器帧率</w:t>
            </w:r>
          </w:p>
        </w:tc>
        <w:tc>
          <w:tcPr>
            <w:tcW w:type="dxa" w:w="3168"/>
            <w:vAlign w:val="center"/>
            <w:tcMar>
              <w:top w:w="80" w:type="dxa"/>
              <w:start w:w="100" w:type="dxa"/>
              <w:bottom w:w="80" w:type="dxa"/>
              <w:end w:w="100" w:type="dxa"/>
            </w:tcMar>
          </w:tcPr>
          <w:p>
            <w:pPr>
              <w:spacing w:after="0" w:before="0"/>
            </w:pPr>
            <w:r>
              <w:rPr>
                <w:sz w:val="18"/>
              </w:rPr>
              <w:t>AI运行时连续滚动低于50fps或出现明显掉帧</w:t>
            </w:r>
          </w:p>
        </w:tc>
        <w:tc>
          <w:tcPr>
            <w:tcW w:type="dxa" w:w="4896"/>
            <w:vAlign w:val="center"/>
            <w:tcMar>
              <w:top w:w="80" w:type="dxa"/>
              <w:start w:w="100" w:type="dxa"/>
              <w:bottom w:w="80" w:type="dxa"/>
              <w:end w:w="100" w:type="dxa"/>
            </w:tcMar>
          </w:tcPr>
          <w:p>
            <w:pPr>
              <w:spacing w:after="0" w:before="0"/>
            </w:pPr>
            <w:r>
              <w:rPr>
                <w:sz w:val="18"/>
              </w:rPr>
              <w:t>2K与超宽屏性能测试</w:t>
            </w:r>
          </w:p>
        </w:tc>
      </w:tr>
    </w:tbl>
    <w:p>
      <w:pPr>
        <w:pStyle w:val="Heading2"/>
      </w:pPr>
      <w:r>
        <w:t>22.4 流式IPC、背压与任务切换</w:t>
      </w:r>
    </w:p>
    <w:p>
      <w:r>
        <w:t>Renderer与Core之间使用MessagePort承载流式事件。消息必须带runId、sequence和protocolVersion，避免章节切换、多任务并行和取消后的乱序污染。</w:t>
      </w:r>
    </w:p>
    <w:p>
      <w:pPr>
        <w:pStyle w:val="MacroText"/>
      </w:pPr>
      <w:r>
        <w:t>started { runId }</w:t>
      </w:r>
    </w:p>
    <w:p>
      <w:pPr>
        <w:pStyle w:val="MacroText"/>
      </w:pPr>
      <w:r>
        <w:t>stage { runId, stage }</w:t>
      </w:r>
    </w:p>
    <w:p>
      <w:pPr>
        <w:pStyle w:val="MacroText"/>
      </w:pPr>
      <w:r>
        <w:t>delta { runId, sequence, text }</w:t>
      </w:r>
    </w:p>
    <w:p>
      <w:pPr>
        <w:pStyle w:val="MacroText"/>
      </w:pPr>
      <w:r>
        <w:t>usage { runId, inputTokens, outputTokens }</w:t>
      </w:r>
    </w:p>
    <w:p>
      <w:pPr>
        <w:pStyle w:val="MacroText"/>
      </w:pPr>
      <w:r>
        <w:t>completed | cancelled | failed</w:t>
      </w:r>
    </w:p>
    <w:p>
      <w:pPr>
        <w:pStyle w:val="ListBullet"/>
      </w:pPr>
      <w:r>
        <w:t>Core按20—50ms或256—1024字符合并delta后发送，禁止逐Token高频IPC。</w:t>
      </w:r>
    </w:p>
    <w:p>
      <w:pPr>
        <w:pStyle w:val="ListBullet"/>
      </w:pPr>
      <w:r>
        <w:t>Renderer按sequence去重和排序；切换章节不取消任务，任务状态进入顶部轻量任务入口。</w:t>
      </w:r>
    </w:p>
    <w:p>
      <w:pPr>
        <w:pStyle w:val="ListBullet"/>
      </w:pPr>
      <w:r>
        <w:t>UI消费不足时，Core合并尚未发送的delta；不得让消息队列无上限增长。</w:t>
      </w:r>
    </w:p>
    <w:p>
      <w:pPr>
        <w:pStyle w:val="ListBullet"/>
      </w:pPr>
      <w:r>
        <w:t>完整文本保存在Core临时缓冲，Renderer只负责预览；completed后由Core保存Candidate并返回内容Hash。</w:t>
      </w:r>
    </w:p>
    <w:p>
      <w:pPr>
        <w:pStyle w:val="ListBullet"/>
      </w:pPr>
      <w:r>
        <w:t>取消必须在500ms内反馈cancelled；已生成内容可由作者选择保存为partial Candidate。</w:t>
      </w:r>
    </w:p>
    <w:p>
      <w:pPr>
        <w:pStyle w:val="Heading2"/>
      </w:pPr>
      <w:r>
        <w:t>22.5 Electron安全基线</w:t>
      </w:r>
    </w:p>
    <w:p>
      <w:r>
        <w:t>以下配置是V1.0发布门槛，不属于可选优化：</w:t>
      </w:r>
    </w:p>
    <w:p>
      <w:pPr>
        <w:pStyle w:val="MacroText"/>
      </w:pPr>
      <w:r>
        <w:t>nodeIntegration: false</w:t>
      </w:r>
    </w:p>
    <w:p>
      <w:pPr>
        <w:pStyle w:val="MacroText"/>
      </w:pPr>
      <w:r>
        <w:t>contextIsolation: true</w:t>
      </w:r>
    </w:p>
    <w:p>
      <w:pPr>
        <w:pStyle w:val="MacroText"/>
      </w:pPr>
      <w:r>
        <w:t>sandbox: true</w:t>
      </w:r>
    </w:p>
    <w:p>
      <w:pPr>
        <w:pStyle w:val="MacroText"/>
      </w:pPr>
      <w:r>
        <w:t>webSecurity: true</w:t>
      </w:r>
    </w:p>
    <w:p>
      <w:pPr>
        <w:pStyle w:val="MacroText"/>
      </w:pPr>
      <w:r>
        <w:t>preload: 最小白名单桥接</w:t>
      </w:r>
    </w:p>
    <w:p>
      <w:pPr>
        <w:pStyle w:val="ListBullet"/>
      </w:pPr>
      <w:r>
        <w:t>Renderer不得直接访问Node、SQLite、文件系统、环境变量和Credential Store。</w:t>
      </w:r>
    </w:p>
    <w:p>
      <w:pPr>
        <w:pStyle w:val="ListBullet"/>
      </w:pPr>
      <w:r>
        <w:t>preload不得暴露通用ipcRenderer.send；每个命令使用具名方法、Zod输入校验和最小返回值。</w:t>
      </w:r>
    </w:p>
    <w:p>
      <w:pPr>
        <w:pStyle w:val="ListBullet"/>
      </w:pPr>
      <w:r>
        <w:t>设置严格Content-Security-Policy；禁止任意远程页面在应用窗口中加载，外部链接只交给系统浏览器。</w:t>
      </w:r>
    </w:p>
    <w:p>
      <w:pPr>
        <w:pStyle w:val="ListBullet"/>
      </w:pPr>
      <w:r>
        <w:t>拦截新窗口、导航、下载和file://越界访问；所有文件路径必须归一化后校验属于当前项目或用户明确选择的目录。</w:t>
      </w:r>
    </w:p>
    <w:p>
      <w:pPr>
        <w:pStyle w:val="ListBullet"/>
      </w:pPr>
      <w:r>
        <w:t>正式版限制开发者工具入口；依赖更新、打包和签名进入CI安全检查。</w:t>
      </w:r>
    </w:p>
    <w:p>
      <w:pPr>
        <w:pStyle w:val="ListBullet"/>
      </w:pPr>
      <w:r>
        <w:t>Electron Fuses关闭不需要的RunAsNode和不安全运行能力；具体开关在M0安全Spike中验证。</w:t>
      </w:r>
    </w:p>
    <w:p>
      <w:pPr>
        <w:pStyle w:val="Heading2"/>
      </w:pPr>
      <w:r>
        <w:t>22.6 凭据、日志与本地隐私</w:t>
      </w:r>
    </w:p>
    <w:tbl>
      <w:tblPr>
        <w:tblStyle w:val="TableGrid"/>
        <w:tblW w:type="auto" w:w="0"/>
        <w:jc w:val="center"/>
        <w:tblLook w:firstColumn="1" w:firstRow="1" w:lastColumn="0" w:lastRow="0" w:noHBand="0" w:noVBand="1" w:val="04A0"/>
      </w:tblPr>
      <w:tblGrid>
        <w:gridCol w:w="3213"/>
        <w:gridCol w:w="3213"/>
        <w:gridCol w:w="3213"/>
      </w:tblGrid>
      <w:tr>
        <w:tc>
          <w:tcPr>
            <w:tcW w:type="dxa" w:w="1872"/>
            <w:vAlign w:val="center"/>
            <w:tcMar>
              <w:top w:w="80" w:type="dxa"/>
              <w:start w:w="100" w:type="dxa"/>
              <w:bottom w:w="80" w:type="dxa"/>
              <w:end w:w="100" w:type="dxa"/>
            </w:tcMar>
            <w:shd w:fill="DCE5EE"/>
          </w:tcPr>
          <w:p>
            <w:pPr>
              <w:spacing w:after="0" w:before="0"/>
            </w:pPr>
            <w:r>
              <w:rPr>
                <w:b/>
                <w:color w:val="233044"/>
                <w:sz w:val="18"/>
              </w:rPr>
              <w:t>平台</w:t>
            </w:r>
          </w:p>
        </w:tc>
        <w:tc>
          <w:tcPr>
            <w:tcW w:type="dxa" w:w="4464"/>
            <w:vAlign w:val="center"/>
            <w:tcMar>
              <w:top w:w="80" w:type="dxa"/>
              <w:start w:w="100" w:type="dxa"/>
              <w:bottom w:w="80" w:type="dxa"/>
              <w:end w:w="100" w:type="dxa"/>
            </w:tcMar>
            <w:shd w:fill="DCE5EE"/>
          </w:tcPr>
          <w:p>
            <w:pPr>
              <w:spacing w:after="0" w:before="0"/>
            </w:pPr>
            <w:r>
              <w:rPr>
                <w:b/>
                <w:color w:val="233044"/>
                <w:sz w:val="18"/>
              </w:rPr>
              <w:t>凭据策略</w:t>
            </w:r>
          </w:p>
        </w:tc>
        <w:tc>
          <w:tcPr>
            <w:tcW w:type="dxa" w:w="3744"/>
            <w:vAlign w:val="center"/>
            <w:tcMar>
              <w:top w:w="80" w:type="dxa"/>
              <w:start w:w="100" w:type="dxa"/>
              <w:bottom w:w="80" w:type="dxa"/>
              <w:end w:w="100" w:type="dxa"/>
            </w:tcMar>
            <w:shd w:fill="DCE5EE"/>
          </w:tcPr>
          <w:p>
            <w:pPr>
              <w:spacing w:after="0" w:before="0"/>
            </w:pPr>
            <w:r>
              <w:rPr>
                <w:b/>
                <w:color w:val="233044"/>
                <w:sz w:val="18"/>
              </w:rPr>
              <w:t>不可接受的降级</w:t>
            </w:r>
          </w:p>
        </w:tc>
        <w:trPr>
          <w:tblHeader/>
          <w:cantSplit/>
        </w:trPr>
      </w:tr>
      <w:tr>
        <w:trPr>
          <w:cantSplit/>
        </w:trPr>
        <w:tc>
          <w:tcPr>
            <w:tcW w:type="dxa" w:w="1872"/>
            <w:vAlign w:val="center"/>
            <w:tcMar>
              <w:top w:w="80" w:type="dxa"/>
              <w:start w:w="100" w:type="dxa"/>
              <w:bottom w:w="80" w:type="dxa"/>
              <w:end w:w="100" w:type="dxa"/>
            </w:tcMar>
          </w:tcPr>
          <w:p>
            <w:pPr>
              <w:spacing w:after="0" w:before="0"/>
            </w:pPr>
            <w:r>
              <w:rPr>
                <w:sz w:val="18"/>
              </w:rPr>
              <w:t>macOS</w:t>
            </w:r>
          </w:p>
        </w:tc>
        <w:tc>
          <w:tcPr>
            <w:tcW w:type="dxa" w:w="4464"/>
            <w:vAlign w:val="center"/>
            <w:tcMar>
              <w:top w:w="80" w:type="dxa"/>
              <w:start w:w="100" w:type="dxa"/>
              <w:bottom w:w="80" w:type="dxa"/>
              <w:end w:w="100" w:type="dxa"/>
            </w:tcMar>
          </w:tcPr>
          <w:p>
            <w:pPr>
              <w:spacing w:after="0" w:before="0"/>
            </w:pPr>
            <w:r>
              <w:rPr>
                <w:sz w:val="18"/>
              </w:rPr>
              <w:t>Keychain或系统安全存储适配</w:t>
            </w:r>
          </w:p>
        </w:tc>
        <w:tc>
          <w:tcPr>
            <w:tcW w:type="dxa" w:w="3744"/>
            <w:vAlign w:val="center"/>
            <w:tcMar>
              <w:top w:w="80" w:type="dxa"/>
              <w:start w:w="100" w:type="dxa"/>
              <w:bottom w:w="80" w:type="dxa"/>
              <w:end w:w="100" w:type="dxa"/>
            </w:tcMar>
          </w:tcPr>
          <w:p>
            <w:pPr>
              <w:spacing w:after="0" w:before="0"/>
            </w:pPr>
            <w:r>
              <w:rPr>
                <w:sz w:val="18"/>
              </w:rPr>
              <w:t>不得保存到project.sqlite、配置JSON或日志</w:t>
            </w:r>
          </w:p>
        </w:tc>
      </w:tr>
      <w:tr>
        <w:trPr>
          <w:cantSplit/>
        </w:trPr>
        <w:tc>
          <w:tcPr>
            <w:tcW w:type="dxa" w:w="1872"/>
            <w:vAlign w:val="center"/>
            <w:tcMar>
              <w:top w:w="80" w:type="dxa"/>
              <w:start w:w="100" w:type="dxa"/>
              <w:bottom w:w="80" w:type="dxa"/>
              <w:end w:w="100" w:type="dxa"/>
            </w:tcMar>
            <w:shd w:fill="F6F7F8"/>
          </w:tcPr>
          <w:p>
            <w:pPr>
              <w:spacing w:after="0" w:before="0"/>
            </w:pPr>
            <w:r>
              <w:rPr>
                <w:sz w:val="18"/>
              </w:rPr>
              <w:t>Windows</w:t>
            </w:r>
          </w:p>
        </w:tc>
        <w:tc>
          <w:tcPr>
            <w:tcW w:type="dxa" w:w="4464"/>
            <w:vAlign w:val="center"/>
            <w:tcMar>
              <w:top w:w="80" w:type="dxa"/>
              <w:start w:w="100" w:type="dxa"/>
              <w:bottom w:w="80" w:type="dxa"/>
              <w:end w:w="100" w:type="dxa"/>
            </w:tcMar>
            <w:shd w:fill="F6F7F8"/>
          </w:tcPr>
          <w:p>
            <w:pPr>
              <w:spacing w:after="0" w:before="0"/>
            </w:pPr>
            <w:r>
              <w:rPr>
                <w:sz w:val="18"/>
              </w:rPr>
              <w:t>Credential Manager/DPAPI适配</w:t>
            </w:r>
          </w:p>
        </w:tc>
        <w:tc>
          <w:tcPr>
            <w:tcW w:type="dxa" w:w="3744"/>
            <w:vAlign w:val="center"/>
            <w:tcMar>
              <w:top w:w="80" w:type="dxa"/>
              <w:start w:w="100" w:type="dxa"/>
              <w:bottom w:w="80" w:type="dxa"/>
              <w:end w:w="100" w:type="dxa"/>
            </w:tcMar>
            <w:shd w:fill="F6F7F8"/>
          </w:tcPr>
          <w:p>
            <w:pPr>
              <w:spacing w:after="0" w:before="0"/>
            </w:pPr>
            <w:r>
              <w:rPr>
                <w:sz w:val="18"/>
              </w:rPr>
              <w:t>不得明文落盘</w:t>
            </w:r>
          </w:p>
        </w:tc>
      </w:tr>
      <w:tr>
        <w:trPr>
          <w:cantSplit/>
        </w:trPr>
        <w:tc>
          <w:tcPr>
            <w:tcW w:type="dxa" w:w="1872"/>
            <w:vAlign w:val="center"/>
            <w:tcMar>
              <w:top w:w="80" w:type="dxa"/>
              <w:start w:w="100" w:type="dxa"/>
              <w:bottom w:w="80" w:type="dxa"/>
              <w:end w:w="100" w:type="dxa"/>
            </w:tcMar>
          </w:tcPr>
          <w:p>
            <w:pPr>
              <w:spacing w:after="0" w:before="0"/>
            </w:pPr>
            <w:r>
              <w:rPr>
                <w:sz w:val="18"/>
              </w:rPr>
              <w:t>Linux</w:t>
            </w:r>
          </w:p>
        </w:tc>
        <w:tc>
          <w:tcPr>
            <w:tcW w:type="dxa" w:w="4464"/>
            <w:vAlign w:val="center"/>
            <w:tcMar>
              <w:top w:w="80" w:type="dxa"/>
              <w:start w:w="100" w:type="dxa"/>
              <w:bottom w:w="80" w:type="dxa"/>
              <w:end w:w="100" w:type="dxa"/>
            </w:tcMar>
          </w:tcPr>
          <w:p>
            <w:pPr>
              <w:spacing w:after="0" w:before="0"/>
            </w:pPr>
            <w:r>
              <w:rPr>
                <w:sz w:val="18"/>
              </w:rPr>
              <w:t>Secret Service/libsecret；不可用时使用会话级密钥</w:t>
            </w:r>
          </w:p>
        </w:tc>
        <w:tc>
          <w:tcPr>
            <w:tcW w:type="dxa" w:w="3744"/>
            <w:vAlign w:val="center"/>
            <w:tcMar>
              <w:top w:w="80" w:type="dxa"/>
              <w:start w:w="100" w:type="dxa"/>
              <w:bottom w:w="80" w:type="dxa"/>
              <w:end w:w="100" w:type="dxa"/>
            </w:tcMar>
          </w:tcPr>
          <w:p>
            <w:pPr>
              <w:spacing w:after="0" w:before="0"/>
            </w:pPr>
            <w:r>
              <w:rPr>
                <w:sz w:val="18"/>
              </w:rPr>
              <w:t>不得自动回退为明文文件</w:t>
            </w:r>
          </w:p>
        </w:tc>
      </w:tr>
    </w:tbl>
    <w:p>
      <w:pPr>
        <w:pStyle w:val="ListBullet"/>
      </w:pPr>
      <w:r>
        <w:t>日志默认只记录runId、模型、耗时、Token、错误码和Hash，不记录正文、完整Prompt或API密钥。</w:t>
      </w:r>
    </w:p>
    <w:p>
      <w:pPr>
        <w:pStyle w:val="ListBullet"/>
      </w:pPr>
      <w:r>
        <w:t>调试摘录默认上限为0；作者主动开启后，单条摘录仍须脱敏并明确显示本地保存位置。</w:t>
      </w:r>
    </w:p>
    <w:p>
      <w:pPr>
        <w:pStyle w:val="ListBullet"/>
      </w:pPr>
      <w:r>
        <w:t>诊断包导出前列出包含内容并二次确认；任何正文样本默认不进入诊断包。</w:t>
      </w:r>
    </w:p>
    <w:p>
      <w:pPr>
        <w:pStyle w:val="Heading2"/>
      </w:pPr>
      <w:r>
        <w:t>22.7 三轨备份、损坏检测与恢复</w:t>
      </w:r>
    </w:p>
    <w:tbl>
      <w:tblPr>
        <w:tblStyle w:val="TableGrid"/>
        <w:tblW w:type="auto" w:w="0"/>
        <w:jc w:val="center"/>
        <w:tblLook w:firstColumn="1" w:firstRow="1" w:lastColumn="0" w:lastRow="0" w:noHBand="0" w:noVBand="1" w:val="04A0"/>
      </w:tblPr>
      <w:tblGrid>
        <w:gridCol w:w="3213"/>
        <w:gridCol w:w="3213"/>
        <w:gridCol w:w="3213"/>
      </w:tblGrid>
      <w:tr>
        <w:tc>
          <w:tcPr>
            <w:tcW w:type="dxa" w:w="2160"/>
            <w:vAlign w:val="center"/>
            <w:tcMar>
              <w:top w:w="80" w:type="dxa"/>
              <w:start w:w="100" w:type="dxa"/>
              <w:bottom w:w="80" w:type="dxa"/>
              <w:end w:w="100" w:type="dxa"/>
            </w:tcMar>
            <w:shd w:fill="DCE5EE"/>
          </w:tcPr>
          <w:p>
            <w:pPr>
              <w:spacing w:after="0" w:before="0"/>
            </w:pPr>
            <w:r>
              <w:rPr>
                <w:b/>
                <w:color w:val="233044"/>
                <w:sz w:val="18"/>
              </w:rPr>
              <w:t>轨道</w:t>
            </w:r>
          </w:p>
        </w:tc>
        <w:tc>
          <w:tcPr>
            <w:tcW w:type="dxa" w:w="4608"/>
            <w:vAlign w:val="center"/>
            <w:tcMar>
              <w:top w:w="80" w:type="dxa"/>
              <w:start w:w="100" w:type="dxa"/>
              <w:bottom w:w="80" w:type="dxa"/>
              <w:end w:w="100" w:type="dxa"/>
            </w:tcMar>
            <w:shd w:fill="DCE5EE"/>
          </w:tcPr>
          <w:p>
            <w:pPr>
              <w:spacing w:after="0" w:before="0"/>
            </w:pPr>
            <w:r>
              <w:rPr>
                <w:b/>
                <w:color w:val="233044"/>
                <w:sz w:val="18"/>
              </w:rPr>
              <w:t>触发</w:t>
            </w:r>
          </w:p>
        </w:tc>
        <w:tc>
          <w:tcPr>
            <w:tcW w:type="dxa" w:w="3312"/>
            <w:vAlign w:val="center"/>
            <w:tcMar>
              <w:top w:w="80" w:type="dxa"/>
              <w:start w:w="100" w:type="dxa"/>
              <w:bottom w:w="80" w:type="dxa"/>
              <w:end w:w="100" w:type="dxa"/>
            </w:tcMar>
            <w:shd w:fill="DCE5EE"/>
          </w:tcPr>
          <w:p>
            <w:pPr>
              <w:spacing w:after="0" w:before="0"/>
            </w:pPr>
            <w:r>
              <w:rPr>
                <w:b/>
                <w:color w:val="233044"/>
                <w:sz w:val="18"/>
              </w:rPr>
              <w:t>保留</w:t>
            </w:r>
          </w:p>
        </w:tc>
        <w:trPr>
          <w:tblHeader/>
          <w:cantSplit/>
        </w:trPr>
      </w:tr>
      <w:tr>
        <w:trPr>
          <w:cantSplit/>
        </w:trPr>
        <w:tc>
          <w:tcPr>
            <w:tcW w:type="dxa" w:w="2160"/>
            <w:vAlign w:val="center"/>
            <w:tcMar>
              <w:top w:w="80" w:type="dxa"/>
              <w:start w:w="100" w:type="dxa"/>
              <w:bottom w:w="80" w:type="dxa"/>
              <w:end w:w="100" w:type="dxa"/>
            </w:tcMar>
          </w:tcPr>
          <w:p>
            <w:pPr>
              <w:spacing w:after="0" w:before="0"/>
            </w:pPr>
            <w:r>
              <w:rPr>
                <w:sz w:val="18"/>
              </w:rPr>
              <w:t>日常滚动备份</w:t>
            </w:r>
          </w:p>
        </w:tc>
        <w:tc>
          <w:tcPr>
            <w:tcW w:type="dxa" w:w="4608"/>
            <w:vAlign w:val="center"/>
            <w:tcMar>
              <w:top w:w="80" w:type="dxa"/>
              <w:start w:w="100" w:type="dxa"/>
              <w:bottom w:w="80" w:type="dxa"/>
              <w:end w:w="100" w:type="dxa"/>
            </w:tcMar>
          </w:tcPr>
          <w:p>
            <w:pPr>
              <w:spacing w:after="0" w:before="0"/>
            </w:pPr>
            <w:r>
              <w:rPr>
                <w:sz w:val="18"/>
              </w:rPr>
              <w:t>每日首次关闭项目或达到配置间隔</w:t>
            </w:r>
          </w:p>
        </w:tc>
        <w:tc>
          <w:tcPr>
            <w:tcW w:type="dxa" w:w="3312"/>
            <w:vAlign w:val="center"/>
            <w:tcMar>
              <w:top w:w="80" w:type="dxa"/>
              <w:start w:w="100" w:type="dxa"/>
              <w:bottom w:w="80" w:type="dxa"/>
              <w:end w:w="100" w:type="dxa"/>
            </w:tcMar>
          </w:tcPr>
          <w:p>
            <w:pPr>
              <w:spacing w:after="0" w:before="0"/>
            </w:pPr>
            <w:r>
              <w:rPr>
                <w:sz w:val="18"/>
              </w:rPr>
              <w:t>默认最近14份，可配置7—30份</w:t>
            </w:r>
          </w:p>
        </w:tc>
      </w:tr>
      <w:tr>
        <w:trPr>
          <w:cantSplit/>
        </w:trPr>
        <w:tc>
          <w:tcPr>
            <w:tcW w:type="dxa" w:w="2160"/>
            <w:vAlign w:val="center"/>
            <w:tcMar>
              <w:top w:w="80" w:type="dxa"/>
              <w:start w:w="100" w:type="dxa"/>
              <w:bottom w:w="80" w:type="dxa"/>
              <w:end w:w="100" w:type="dxa"/>
            </w:tcMar>
            <w:shd w:fill="F6F7F8"/>
          </w:tcPr>
          <w:p>
            <w:pPr>
              <w:spacing w:after="0" w:before="0"/>
            </w:pPr>
            <w:r>
              <w:rPr>
                <w:sz w:val="18"/>
              </w:rPr>
              <w:t>重大操作恢复点</w:t>
            </w:r>
          </w:p>
        </w:tc>
        <w:tc>
          <w:tcPr>
            <w:tcW w:type="dxa" w:w="4608"/>
            <w:vAlign w:val="center"/>
            <w:tcMar>
              <w:top w:w="80" w:type="dxa"/>
              <w:start w:w="100" w:type="dxa"/>
              <w:bottom w:w="80" w:type="dxa"/>
              <w:end w:w="100" w:type="dxa"/>
            </w:tcMar>
            <w:shd w:fill="F6F7F8"/>
          </w:tcPr>
          <w:p>
            <w:pPr>
              <w:spacing w:after="0" w:before="0"/>
            </w:pPr>
            <w:r>
              <w:rPr>
                <w:sz w:val="18"/>
              </w:rPr>
              <w:t>迁移、批量导入、章节合并、卷级重排、重大返修、批量替换前</w:t>
            </w:r>
          </w:p>
        </w:tc>
        <w:tc>
          <w:tcPr>
            <w:tcW w:type="dxa" w:w="3312"/>
            <w:vAlign w:val="center"/>
            <w:tcMar>
              <w:top w:w="80" w:type="dxa"/>
              <w:start w:w="100" w:type="dxa"/>
              <w:bottom w:w="80" w:type="dxa"/>
              <w:end w:w="100" w:type="dxa"/>
            </w:tcMar>
            <w:shd w:fill="F6F7F8"/>
          </w:tcPr>
          <w:p>
            <w:pPr>
              <w:spacing w:after="0" w:before="0"/>
            </w:pPr>
            <w:r>
              <w:rPr>
                <w:sz w:val="18"/>
              </w:rPr>
              <w:t>默认永久保留，作者主动删除</w:t>
            </w:r>
          </w:p>
        </w:tc>
      </w:tr>
      <w:tr>
        <w:trPr>
          <w:cantSplit/>
        </w:trPr>
        <w:tc>
          <w:tcPr>
            <w:tcW w:type="dxa" w:w="2160"/>
            <w:vAlign w:val="center"/>
            <w:tcMar>
              <w:top w:w="80" w:type="dxa"/>
              <w:start w:w="100" w:type="dxa"/>
              <w:bottom w:w="80" w:type="dxa"/>
              <w:end w:w="100" w:type="dxa"/>
            </w:tcMar>
          </w:tcPr>
          <w:p>
            <w:pPr>
              <w:spacing w:after="0" w:before="0"/>
            </w:pPr>
            <w:r>
              <w:rPr>
                <w:sz w:val="18"/>
              </w:rPr>
              <w:t>手动命名快照</w:t>
            </w:r>
          </w:p>
        </w:tc>
        <w:tc>
          <w:tcPr>
            <w:tcW w:type="dxa" w:w="4608"/>
            <w:vAlign w:val="center"/>
            <w:tcMar>
              <w:top w:w="80" w:type="dxa"/>
              <w:start w:w="100" w:type="dxa"/>
              <w:bottom w:w="80" w:type="dxa"/>
              <w:end w:w="100" w:type="dxa"/>
            </w:tcMar>
          </w:tcPr>
          <w:p>
            <w:pPr>
              <w:spacing w:after="0" w:before="0"/>
            </w:pPr>
            <w:r>
              <w:rPr>
                <w:sz w:val="18"/>
              </w:rPr>
              <w:t>作者主动创建</w:t>
            </w:r>
          </w:p>
        </w:tc>
        <w:tc>
          <w:tcPr>
            <w:tcW w:type="dxa" w:w="3312"/>
            <w:vAlign w:val="center"/>
            <w:tcMar>
              <w:top w:w="80" w:type="dxa"/>
              <w:start w:w="100" w:type="dxa"/>
              <w:bottom w:w="80" w:type="dxa"/>
              <w:end w:w="100" w:type="dxa"/>
            </w:tcMar>
          </w:tcPr>
          <w:p>
            <w:pPr>
              <w:spacing w:after="0" w:before="0"/>
            </w:pPr>
            <w:r>
              <w:rPr>
                <w:sz w:val="18"/>
              </w:rPr>
              <w:t>永久保留</w:t>
            </w:r>
          </w:p>
        </w:tc>
      </w:tr>
    </w:tbl>
    <w:p>
      <w:pPr>
        <w:pStyle w:val="ListBullet"/>
      </w:pPr>
      <w:r>
        <w:t>备份使用SQLite Online Backup生成一致副本，不直接复制正在写入的数据库文件。</w:t>
      </w:r>
    </w:p>
    <w:p>
      <w:pPr>
        <w:pStyle w:val="ListBullet"/>
      </w:pPr>
      <w:r>
        <w:t>打开异常退出项目时执行quick_check；迁移、完整备份和维护操作执行integrity_check。</w:t>
      </w:r>
    </w:p>
    <w:p>
      <w:pPr>
        <w:pStyle w:val="ListBullet"/>
      </w:pPr>
      <w:r>
        <w:t>只有完整性检查和Hash校验通过的备份才标记为“已验证”。系统不得自动删除最后一份已验证备份。</w:t>
      </w:r>
    </w:p>
    <w:p>
      <w:pPr>
        <w:pStyle w:val="ListBullet"/>
      </w:pPr>
      <w:r>
        <w:t>检测到数据库异常时立即停止写入，尝试以只读方式打开；优先恢复到新目录，不覆盖原项目。</w:t>
      </w:r>
    </w:p>
    <w:p>
      <w:pPr>
        <w:pStyle w:val="ListBullet"/>
      </w:pPr>
      <w:r>
        <w:t>磁盘空间不足时暂停新备份并提示清理；不得为了腾空间删除唯一已验证备份。</w:t>
      </w:r>
    </w:p>
    <w:p>
      <w:pPr>
        <w:pStyle w:val="Heading2"/>
      </w:pPr>
      <w:r>
        <w:t>22.8 DOCX/TXT导入安全与异常边界</w:t>
      </w:r>
    </w:p>
    <w:p>
      <w:pPr>
        <w:pStyle w:val="ListBullet"/>
      </w:pPr>
      <w:r>
        <w:t>V1.0接受.docx，拒绝.docm；不执行宏、脚本、外部链接和OLE对象。</w:t>
      </w:r>
    </w:p>
    <w:p>
      <w:pPr>
        <w:pStyle w:val="ListBullet"/>
      </w:pPr>
      <w:r>
        <w:t>DOCX作为ZIP解析时限制总解压大小、文件数量、单文件大小和压缩比，并阻止路径穿越。</w:t>
      </w:r>
    </w:p>
    <w:p>
      <w:pPr>
        <w:pStyle w:val="ListBullet"/>
      </w:pPr>
      <w:r>
        <w:t>只提取正文、标题、普通段落、基础粗斜体和分隔符；不承诺还原浮动对象、批注、修订记录、脚注和复杂版式。</w:t>
      </w:r>
    </w:p>
    <w:p>
      <w:pPr>
        <w:pStyle w:val="ListBullet"/>
      </w:pPr>
      <w:r>
        <w:t>解析在临时隔离目录完成；取消、失败或完成后清理临时文件。</w:t>
      </w:r>
    </w:p>
    <w:p>
      <w:pPr>
        <w:pStyle w:val="ListBullet"/>
      </w:pPr>
      <w:r>
        <w:t>TXT支持UTF-8、UTF-16、GB18030候选识别；置信度不足时必须让作者预览并手动选择编码。</w:t>
      </w:r>
    </w:p>
    <w:p>
      <w:pPr>
        <w:pStyle w:val="ListBullet"/>
      </w:pPr>
      <w:r>
        <w:t>导入写入使用单一事务；作者取消或任一步失败时不得留下半成品章节。</w:t>
      </w:r>
    </w:p>
    <w:p>
      <w:pPr>
        <w:pStyle w:val="Heading2"/>
      </w:pPr>
      <w:r>
        <w:t>22.9 Revision、撤销、Version与空间维护</w:t>
      </w:r>
    </w:p>
    <w:tbl>
      <w:tblPr>
        <w:tblStyle w:val="TableGrid"/>
        <w:tblW w:type="auto" w:w="0"/>
        <w:jc w:val="center"/>
        <w:tblLook w:firstColumn="1" w:firstRow="1" w:lastColumn="0" w:lastRow="0" w:noHBand="0" w:noVBand="1" w:val="04A0"/>
      </w:tblPr>
      <w:tblGrid>
        <w:gridCol w:w="3213"/>
        <w:gridCol w:w="3213"/>
        <w:gridCol w:w="3213"/>
      </w:tblGrid>
      <w:tr>
        <w:tc>
          <w:tcPr>
            <w:tcW w:type="dxa" w:w="2016"/>
            <w:vAlign w:val="center"/>
            <w:tcMar>
              <w:top w:w="80" w:type="dxa"/>
              <w:start w:w="100" w:type="dxa"/>
              <w:bottom w:w="80" w:type="dxa"/>
              <w:end w:w="100" w:type="dxa"/>
            </w:tcMar>
            <w:shd w:fill="DCE5EE"/>
          </w:tcPr>
          <w:p>
            <w:pPr>
              <w:spacing w:after="0" w:before="0"/>
            </w:pPr>
            <w:r>
              <w:rPr>
                <w:b/>
                <w:color w:val="233044"/>
                <w:sz w:val="18"/>
              </w:rPr>
              <w:t>对象</w:t>
            </w:r>
          </w:p>
        </w:tc>
        <w:tc>
          <w:tcPr>
            <w:tcW w:type="dxa" w:w="3888"/>
            <w:vAlign w:val="center"/>
            <w:tcMar>
              <w:top w:w="80" w:type="dxa"/>
              <w:start w:w="100" w:type="dxa"/>
              <w:bottom w:w="80" w:type="dxa"/>
              <w:end w:w="100" w:type="dxa"/>
            </w:tcMar>
            <w:shd w:fill="DCE5EE"/>
          </w:tcPr>
          <w:p>
            <w:pPr>
              <w:spacing w:after="0" w:before="0"/>
            </w:pPr>
            <w:r>
              <w:rPr>
                <w:b/>
                <w:color w:val="233044"/>
                <w:sz w:val="18"/>
              </w:rPr>
              <w:t>增长规则</w:t>
            </w:r>
          </w:p>
        </w:tc>
        <w:tc>
          <w:tcPr>
            <w:tcW w:type="dxa" w:w="4176"/>
            <w:vAlign w:val="center"/>
            <w:tcMar>
              <w:top w:w="80" w:type="dxa"/>
              <w:start w:w="100" w:type="dxa"/>
              <w:bottom w:w="80" w:type="dxa"/>
              <w:end w:w="100" w:type="dxa"/>
            </w:tcMar>
            <w:shd w:fill="DCE5EE"/>
          </w:tcPr>
          <w:p>
            <w:pPr>
              <w:spacing w:after="0" w:before="0"/>
            </w:pPr>
            <w:r>
              <w:rPr>
                <w:b/>
                <w:color w:val="233044"/>
                <w:sz w:val="18"/>
              </w:rPr>
              <w:t>保留策略</w:t>
            </w:r>
          </w:p>
        </w:tc>
        <w:trPr>
          <w:tblHeader/>
          <w:cantSplit/>
        </w:trPr>
      </w:tr>
      <w:tr>
        <w:trPr>
          <w:cantSplit/>
        </w:trPr>
        <w:tc>
          <w:tcPr>
            <w:tcW w:type="dxa" w:w="2016"/>
            <w:vAlign w:val="center"/>
            <w:tcMar>
              <w:top w:w="80" w:type="dxa"/>
              <w:start w:w="100" w:type="dxa"/>
              <w:bottom w:w="80" w:type="dxa"/>
              <w:end w:w="100" w:type="dxa"/>
            </w:tcMar>
          </w:tcPr>
          <w:p>
            <w:pPr>
              <w:spacing w:after="0" w:before="0"/>
            </w:pPr>
            <w:r>
              <w:rPr>
                <w:sz w:val="18"/>
              </w:rPr>
              <w:t>Draft Revision</w:t>
            </w:r>
          </w:p>
        </w:tc>
        <w:tc>
          <w:tcPr>
            <w:tcW w:type="dxa" w:w="3888"/>
            <w:vAlign w:val="center"/>
            <w:tcMar>
              <w:top w:w="80" w:type="dxa"/>
              <w:start w:w="100" w:type="dxa"/>
              <w:bottom w:w="80" w:type="dxa"/>
              <w:end w:w="100" w:type="dxa"/>
            </w:tcMar>
          </w:tcPr>
          <w:p>
            <w:pPr>
              <w:spacing w:after="0" w:before="0"/>
            </w:pPr>
            <w:r>
              <w:rPr>
                <w:sz w:val="18"/>
              </w:rPr>
              <w:t>每次已提交的自动保存/编辑事务+1</w:t>
            </w:r>
          </w:p>
        </w:tc>
        <w:tc>
          <w:tcPr>
            <w:tcW w:type="dxa" w:w="4176"/>
            <w:vAlign w:val="center"/>
            <w:tcMar>
              <w:top w:w="80" w:type="dxa"/>
              <w:start w:w="100" w:type="dxa"/>
              <w:bottom w:w="80" w:type="dxa"/>
              <w:end w:w="100" w:type="dxa"/>
            </w:tcMar>
          </w:tcPr>
          <w:p>
            <w:pPr>
              <w:spacing w:after="0" w:before="0"/>
            </w:pPr>
            <w:r>
              <w:rPr>
                <w:sz w:val="18"/>
              </w:rPr>
              <w:t>轻量整数基线，不等于完整副本</w:t>
            </w:r>
          </w:p>
        </w:tc>
      </w:tr>
      <w:tr>
        <w:trPr>
          <w:cantSplit/>
        </w:trPr>
        <w:tc>
          <w:tcPr>
            <w:tcW w:type="dxa" w:w="2016"/>
            <w:vAlign w:val="center"/>
            <w:tcMar>
              <w:top w:w="80" w:type="dxa"/>
              <w:start w:w="100" w:type="dxa"/>
              <w:bottom w:w="80" w:type="dxa"/>
              <w:end w:w="100" w:type="dxa"/>
            </w:tcMar>
            <w:shd w:fill="F6F7F8"/>
          </w:tcPr>
          <w:p>
            <w:pPr>
              <w:spacing w:after="0" w:before="0"/>
            </w:pPr>
            <w:r>
              <w:rPr>
                <w:sz w:val="18"/>
              </w:rPr>
              <w:t>编辑Patch</w:t>
            </w:r>
          </w:p>
        </w:tc>
        <w:tc>
          <w:tcPr>
            <w:tcW w:type="dxa" w:w="3888"/>
            <w:vAlign w:val="center"/>
            <w:tcMar>
              <w:top w:w="80" w:type="dxa"/>
              <w:start w:w="100" w:type="dxa"/>
              <w:bottom w:w="80" w:type="dxa"/>
              <w:end w:w="100" w:type="dxa"/>
            </w:tcMar>
            <w:shd w:fill="F6F7F8"/>
          </w:tcPr>
          <w:p>
            <w:pPr>
              <w:spacing w:after="0" w:before="0"/>
            </w:pPr>
            <w:r>
              <w:rPr>
                <w:sz w:val="18"/>
              </w:rPr>
              <w:t>记录块级变化，用于崩溃恢复与近期历史</w:t>
            </w:r>
          </w:p>
        </w:tc>
        <w:tc>
          <w:tcPr>
            <w:tcW w:type="dxa" w:w="4176"/>
            <w:vAlign w:val="center"/>
            <w:tcMar>
              <w:top w:w="80" w:type="dxa"/>
              <w:start w:w="100" w:type="dxa"/>
              <w:bottom w:w="80" w:type="dxa"/>
              <w:end w:w="100" w:type="dxa"/>
            </w:tcMar>
            <w:shd w:fill="F6F7F8"/>
          </w:tcPr>
          <w:p>
            <w:pPr>
              <w:spacing w:after="0" w:before="0"/>
            </w:pPr>
            <w:r>
              <w:rPr>
                <w:sz w:val="18"/>
              </w:rPr>
              <w:t>按时间/数量压缩为检查点；不无限保存每次按键</w:t>
            </w:r>
          </w:p>
        </w:tc>
      </w:tr>
      <w:tr>
        <w:trPr>
          <w:cantSplit/>
        </w:trPr>
        <w:tc>
          <w:tcPr>
            <w:tcW w:type="dxa" w:w="2016"/>
            <w:vAlign w:val="center"/>
            <w:tcMar>
              <w:top w:w="80" w:type="dxa"/>
              <w:start w:w="100" w:type="dxa"/>
              <w:bottom w:w="80" w:type="dxa"/>
              <w:end w:w="100" w:type="dxa"/>
            </w:tcMar>
          </w:tcPr>
          <w:p>
            <w:pPr>
              <w:spacing w:after="0" w:before="0"/>
            </w:pPr>
            <w:r>
              <w:rPr>
                <w:sz w:val="18"/>
              </w:rPr>
              <w:t>Candidate</w:t>
            </w:r>
          </w:p>
        </w:tc>
        <w:tc>
          <w:tcPr>
            <w:tcW w:type="dxa" w:w="3888"/>
            <w:vAlign w:val="center"/>
            <w:tcMar>
              <w:top w:w="80" w:type="dxa"/>
              <w:start w:w="100" w:type="dxa"/>
              <w:bottom w:w="80" w:type="dxa"/>
              <w:end w:w="100" w:type="dxa"/>
            </w:tcMar>
          </w:tcPr>
          <w:p>
            <w:pPr>
              <w:spacing w:after="0" w:before="0"/>
            </w:pPr>
            <w:r>
              <w:rPr>
                <w:sz w:val="18"/>
              </w:rPr>
              <w:t>每次AI结果一条，流式原文不逐片段落盘</w:t>
            </w:r>
          </w:p>
        </w:tc>
        <w:tc>
          <w:tcPr>
            <w:tcW w:type="dxa" w:w="4176"/>
            <w:vAlign w:val="center"/>
            <w:tcMar>
              <w:top w:w="80" w:type="dxa"/>
              <w:start w:w="100" w:type="dxa"/>
              <w:bottom w:w="80" w:type="dxa"/>
              <w:end w:w="100" w:type="dxa"/>
            </w:tcMar>
          </w:tcPr>
          <w:p>
            <w:pPr>
              <w:spacing w:after="0" w:before="0"/>
            </w:pPr>
            <w:r>
              <w:rPr>
                <w:sz w:val="18"/>
              </w:rPr>
              <w:t>已丢弃且无引用的临时流可安全清理</w:t>
            </w:r>
          </w:p>
        </w:tc>
      </w:tr>
      <w:tr>
        <w:trPr>
          <w:cantSplit/>
        </w:trPr>
        <w:tc>
          <w:tcPr>
            <w:tcW w:type="dxa" w:w="2016"/>
            <w:vAlign w:val="center"/>
            <w:tcMar>
              <w:top w:w="80" w:type="dxa"/>
              <w:start w:w="100" w:type="dxa"/>
              <w:bottom w:w="80" w:type="dxa"/>
              <w:end w:w="100" w:type="dxa"/>
            </w:tcMar>
            <w:shd w:fill="F6F7F8"/>
          </w:tcPr>
          <w:p>
            <w:pPr>
              <w:spacing w:after="0" w:before="0"/>
            </w:pPr>
            <w:r>
              <w:rPr>
                <w:sz w:val="18"/>
              </w:rPr>
              <w:t>Chapter Version</w:t>
            </w:r>
          </w:p>
        </w:tc>
        <w:tc>
          <w:tcPr>
            <w:tcW w:type="dxa" w:w="3888"/>
            <w:vAlign w:val="center"/>
            <w:tcMar>
              <w:top w:w="80" w:type="dxa"/>
              <w:start w:w="100" w:type="dxa"/>
              <w:bottom w:w="80" w:type="dxa"/>
              <w:end w:w="100" w:type="dxa"/>
            </w:tcMar>
            <w:shd w:fill="F6F7F8"/>
          </w:tcPr>
          <w:p>
            <w:pPr>
              <w:spacing w:after="0" w:before="0"/>
            </w:pPr>
            <w:r>
              <w:rPr>
                <w:sz w:val="18"/>
              </w:rPr>
              <w:t>仅显式保存版本、结构性候选接受、定稿、历史恢复和重大操作创建</w:t>
            </w:r>
          </w:p>
        </w:tc>
        <w:tc>
          <w:tcPr>
            <w:tcW w:type="dxa" w:w="4176"/>
            <w:vAlign w:val="center"/>
            <w:tcMar>
              <w:top w:w="80" w:type="dxa"/>
              <w:start w:w="100" w:type="dxa"/>
              <w:bottom w:w="80" w:type="dxa"/>
              <w:end w:w="100" w:type="dxa"/>
            </w:tcMar>
            <w:shd w:fill="F6F7F8"/>
          </w:tcPr>
          <w:p>
            <w:pPr>
              <w:spacing w:after="0" w:before="0"/>
            </w:pPr>
            <w:r>
              <w:rPr>
                <w:sz w:val="18"/>
              </w:rPr>
              <w:t>不可变，作者主动清理前永久保留</w:t>
            </w:r>
          </w:p>
        </w:tc>
      </w:tr>
    </w:tbl>
    <w:p>
      <w:pPr>
        <w:pStyle w:val="ListBullet"/>
      </w:pPr>
      <w:r>
        <w:t>Ctrl+Z覆盖当前会话和最近已应用事务；重启后的长期回退依赖检查点、Candidate和不可变Version。</w:t>
      </w:r>
    </w:p>
    <w:p>
      <w:pPr>
        <w:pStyle w:val="ListBullet"/>
      </w:pPr>
      <w:r>
        <w:t>大量删除后记录可回收空间，不在写作过程中自动执行全量VACUUM。</w:t>
      </w:r>
    </w:p>
    <w:p>
      <w:pPr>
        <w:pStyle w:val="ListBullet"/>
      </w:pPr>
      <w:r>
        <w:t>项目关闭且可回收空间超过20%且数据库大于500MB时，可提示“优化项目数据库”；执行前创建重大恢复点。</w:t>
      </w:r>
    </w:p>
    <w:p>
      <w:pPr>
        <w:pStyle w:val="ListBullet"/>
      </w:pPr>
      <w:r>
        <w:t>FTS5提供独立重建命令；索引损坏不影响正文权威数据。</w:t>
      </w:r>
    </w:p>
    <w:p>
      <w:pPr>
        <w:pStyle w:val="Heading2"/>
      </w:pPr>
      <w:r>
        <w:t>22.10 AI质量：代码硬保证与模型质量档案</w:t>
      </w:r>
    </w:p>
    <w:tbl>
      <w:tblPr>
        <w:tblStyle w:val="TableGrid"/>
        <w:tblW w:type="auto" w:w="0"/>
        <w:jc w:val="center"/>
        <w:tblLook w:firstColumn="1" w:firstRow="1" w:lastColumn="0" w:lastRow="0" w:noHBand="0" w:noVBand="1" w:val="04A0"/>
      </w:tblPr>
      <w:tblGrid>
        <w:gridCol w:w="3213"/>
        <w:gridCol w:w="3213"/>
        <w:gridCol w:w="3213"/>
      </w:tblGrid>
      <w:tr>
        <w:tc>
          <w:tcPr>
            <w:tcW w:type="dxa" w:w="2160"/>
            <w:vAlign w:val="center"/>
            <w:tcMar>
              <w:top w:w="80" w:type="dxa"/>
              <w:start w:w="100" w:type="dxa"/>
              <w:bottom w:w="80" w:type="dxa"/>
              <w:end w:w="100" w:type="dxa"/>
            </w:tcMar>
            <w:shd w:fill="DCE5EE"/>
          </w:tcPr>
          <w:p>
            <w:pPr>
              <w:spacing w:after="0" w:before="0"/>
            </w:pPr>
            <w:r>
              <w:rPr>
                <w:b/>
                <w:color w:val="233044"/>
                <w:sz w:val="18"/>
              </w:rPr>
              <w:t>类别</w:t>
            </w:r>
          </w:p>
        </w:tc>
        <w:tc>
          <w:tcPr>
            <w:tcW w:type="dxa" w:w="4896"/>
            <w:vAlign w:val="center"/>
            <w:tcMar>
              <w:top w:w="80" w:type="dxa"/>
              <w:start w:w="100" w:type="dxa"/>
              <w:bottom w:w="80" w:type="dxa"/>
              <w:end w:w="100" w:type="dxa"/>
            </w:tcMar>
            <w:shd w:fill="DCE5EE"/>
          </w:tcPr>
          <w:p>
            <w:pPr>
              <w:spacing w:after="0" w:before="0"/>
            </w:pPr>
            <w:r>
              <w:rPr>
                <w:b/>
                <w:color w:val="233044"/>
                <w:sz w:val="18"/>
              </w:rPr>
              <w:t>要求</w:t>
            </w:r>
          </w:p>
        </w:tc>
        <w:tc>
          <w:tcPr>
            <w:tcW w:type="dxa" w:w="3168"/>
            <w:vAlign w:val="center"/>
            <w:tcMar>
              <w:top w:w="80" w:type="dxa"/>
              <w:start w:w="100" w:type="dxa"/>
              <w:bottom w:w="80" w:type="dxa"/>
              <w:end w:w="100" w:type="dxa"/>
            </w:tcMar>
            <w:shd w:fill="DCE5EE"/>
          </w:tcPr>
          <w:p>
            <w:pPr>
              <w:spacing w:after="0" w:before="0"/>
            </w:pPr>
            <w:r>
              <w:rPr>
                <w:b/>
                <w:color w:val="233044"/>
                <w:sz w:val="18"/>
              </w:rPr>
              <w:t>处理</w:t>
            </w:r>
          </w:p>
        </w:tc>
        <w:trPr>
          <w:tblHeader/>
          <w:cantSplit/>
        </w:trPr>
      </w:tr>
      <w:tr>
        <w:trPr>
          <w:cantSplit/>
        </w:trPr>
        <w:tc>
          <w:tcPr>
            <w:tcW w:type="dxa" w:w="2160"/>
            <w:vAlign w:val="center"/>
            <w:tcMar>
              <w:top w:w="80" w:type="dxa"/>
              <w:start w:w="100" w:type="dxa"/>
              <w:bottom w:w="80" w:type="dxa"/>
              <w:end w:w="100" w:type="dxa"/>
            </w:tcMar>
          </w:tcPr>
          <w:p>
            <w:pPr>
              <w:spacing w:after="0" w:before="0"/>
            </w:pPr>
            <w:r>
              <w:rPr>
                <w:sz w:val="18"/>
              </w:rPr>
              <w:t>代码硬保证</w:t>
            </w:r>
          </w:p>
        </w:tc>
        <w:tc>
          <w:tcPr>
            <w:tcW w:type="dxa" w:w="4896"/>
            <w:vAlign w:val="center"/>
            <w:tcMar>
              <w:top w:w="80" w:type="dxa"/>
              <w:start w:w="100" w:type="dxa"/>
              <w:bottom w:w="80" w:type="dxa"/>
              <w:end w:w="100" w:type="dxa"/>
            </w:tcMar>
          </w:tcPr>
          <w:p>
            <w:pPr>
              <w:spacing w:after="0" w:before="0"/>
            </w:pPr>
            <w:r>
              <w:rPr>
                <w:sz w:val="18"/>
              </w:rPr>
              <w:t>锁定块破坏率0；未确认Candidate写入率0；Revision冲突静默覆盖率0；AI直接修改权威设定次数0；跨项目写入次数0</w:t>
            </w:r>
          </w:p>
        </w:tc>
        <w:tc>
          <w:tcPr>
            <w:tcW w:type="dxa" w:w="3168"/>
            <w:vAlign w:val="center"/>
            <w:tcMar>
              <w:top w:w="80" w:type="dxa"/>
              <w:start w:w="100" w:type="dxa"/>
              <w:bottom w:w="80" w:type="dxa"/>
              <w:end w:w="100" w:type="dxa"/>
            </w:tcMar>
          </w:tcPr>
          <w:p>
            <w:pPr>
              <w:spacing w:after="0" w:before="0"/>
            </w:pPr>
            <w:r>
              <w:rPr>
                <w:sz w:val="18"/>
              </w:rPr>
              <w:t>任何失败都阻断发布，与模型能力无关</w:t>
            </w:r>
          </w:p>
        </w:tc>
      </w:tr>
      <w:tr>
        <w:trPr>
          <w:cantSplit/>
        </w:trPr>
        <w:tc>
          <w:tcPr>
            <w:tcW w:type="dxa" w:w="2160"/>
            <w:vAlign w:val="center"/>
            <w:tcMar>
              <w:top w:w="80" w:type="dxa"/>
              <w:start w:w="100" w:type="dxa"/>
              <w:bottom w:w="80" w:type="dxa"/>
              <w:end w:w="100" w:type="dxa"/>
            </w:tcMar>
            <w:shd w:fill="F6F7F8"/>
          </w:tcPr>
          <w:p>
            <w:pPr>
              <w:spacing w:after="0" w:before="0"/>
            </w:pPr>
            <w:r>
              <w:rPr>
                <w:sz w:val="18"/>
              </w:rPr>
              <w:t>模型质量指标</w:t>
            </w:r>
          </w:p>
        </w:tc>
        <w:tc>
          <w:tcPr>
            <w:tcW w:type="dxa" w:w="4896"/>
            <w:vAlign w:val="center"/>
            <w:tcMar>
              <w:top w:w="80" w:type="dxa"/>
              <w:start w:w="100" w:type="dxa"/>
              <w:bottom w:w="80" w:type="dxa"/>
              <w:end w:w="100" w:type="dxa"/>
            </w:tcMar>
            <w:shd w:fill="F6F7F8"/>
          </w:tcPr>
          <w:p>
            <w:pPr>
              <w:spacing w:after="0" w:before="0"/>
            </w:pPr>
            <w:r>
              <w:rPr>
                <w:sz w:val="18"/>
              </w:rPr>
              <w:t>T0节拍覆盖、因果成立、T1骨架遵循、状态提取准确率、连续性精确率、禁止信息泄露率</w:t>
            </w:r>
          </w:p>
        </w:tc>
        <w:tc>
          <w:tcPr>
            <w:tcW w:type="dxa" w:w="3168"/>
            <w:vAlign w:val="center"/>
            <w:tcMar>
              <w:top w:w="80" w:type="dxa"/>
              <w:start w:w="100" w:type="dxa"/>
              <w:bottom w:w="80" w:type="dxa"/>
              <w:end w:w="100" w:type="dxa"/>
            </w:tcMar>
            <w:shd w:fill="F6F7F8"/>
          </w:tcPr>
          <w:p>
            <w:pPr>
              <w:spacing w:after="0" w:before="0"/>
            </w:pPr>
            <w:r>
              <w:rPr>
                <w:sz w:val="18"/>
              </w:rPr>
              <w:t>按Provider/模型/任务分别评测，不用单一全局分数</w:t>
            </w:r>
          </w:p>
        </w:tc>
      </w:tr>
    </w:tbl>
    <w:p>
      <w:r>
        <w:t>模型支持级别：</w:t>
      </w:r>
    </w:p>
    <w:p>
      <w:pPr>
        <w:pStyle w:val="ListBullet"/>
      </w:pPr>
      <w:r>
        <w:t>已验证：通过该任务的本地Eval，可默认开放。</w:t>
      </w:r>
    </w:p>
    <w:p>
      <w:pPr>
        <w:pStyle w:val="ListBullet"/>
      </w:pPr>
      <w:r>
        <w:t>有限支持：可用于续写和局部改写；状态提取、超长篇连续性等高风险任务显示警告。</w:t>
      </w:r>
    </w:p>
    <w:p>
      <w:pPr>
        <w:pStyle w:val="ListBullet"/>
      </w:pPr>
      <w:r>
        <w:t>未验证：允许作者主动使用，但不宣称达到质量基线，并建议先运行样例评测。</w:t>
      </w:r>
    </w:p>
    <w:p>
      <w:pPr>
        <w:pStyle w:val="Heading2"/>
      </w:pPr>
      <w:r>
        <w:t>22.11 2K、高DPI与曲面/超宽屏设计原则</w:t>
      </w:r>
    </w:p>
    <w:p>
      <w:r>
        <w:t>“曲面屏支持”不依赖检测屏幕曲率。应用按分辨率、宽高比、系统缩放和可用工作区适配；视觉设计将高频正文保持在中央安全区，避免在21:9屏幕上把阅读行无限拉长或把危险操作放到极端边缘。</w:t>
      </w:r>
    </w:p>
    <w:p>
      <w:pPr>
        <w:jc w:val="center"/>
      </w:pPr>
      <w:r>
        <w:drawing>
          <wp:inline xmlns:a="http://schemas.openxmlformats.org/drawingml/2006/main" xmlns:pic="http://schemas.openxmlformats.org/drawingml/2006/picture">
            <wp:extent cx="6263640" cy="3644300"/>
            <wp:docPr id="20" name="Picture 20" descr="Image: image19.png"/>
            <wp:cNvGraphicFramePr>
              <a:graphicFrameLocks noChangeAspect="1"/>
            </wp:cNvGraphicFramePr>
            <a:graphic>
              <a:graphicData uri="http://schemas.openxmlformats.org/drawingml/2006/picture">
                <pic:pic>
                  <pic:nvPicPr>
                    <pic:cNvPr id="0" name="display_adaptation.png"/>
                    <pic:cNvPicPr/>
                  </pic:nvPicPr>
                  <pic:blipFill>
                    <a:blip r:embed="rId33"/>
                    <a:stretch>
                      <a:fillRect/>
                    </a:stretch>
                  </pic:blipFill>
                  <pic:spPr>
                    <a:xfrm>
                      <a:off x="0" y="0"/>
                      <a:ext cx="6263640" cy="3644300"/>
                    </a:xfrm>
                    <a:prstGeom prst="rect"/>
                  </pic:spPr>
                </pic:pic>
              </a:graphicData>
            </a:graphic>
          </wp:inline>
        </w:drawing>
      </w:r>
    </w:p>
    <w:p>
      <w:pPr>
        <w:pStyle w:val="Caption"/>
        <w:jc w:val="center"/>
      </w:pPr>
      <w:r>
        <w:t>图22-1  13英寸、2K与21:9曲面/超宽屏的布局策略</w:t>
      </w:r>
    </w:p>
    <w:tbl>
      <w:tblPr>
        <w:tblStyle w:val="TableGrid"/>
        <w:tblW w:type="auto" w:w="0"/>
        <w:jc w:val="center"/>
        <w:tblLook w:firstColumn="1" w:firstRow="1" w:lastColumn="0" w:lastRow="0" w:noHBand="0" w:noVBand="1" w:val="04A0"/>
      </w:tblPr>
      <w:tblGrid>
        <w:gridCol w:w="3213"/>
        <w:gridCol w:w="3213"/>
        <w:gridCol w:w="3213"/>
      </w:tblGrid>
      <w:tr>
        <w:tc>
          <w:tcPr>
            <w:tcW w:type="dxa" w:w="2304"/>
            <w:vAlign w:val="center"/>
            <w:tcMar>
              <w:top w:w="80" w:type="dxa"/>
              <w:start w:w="100" w:type="dxa"/>
              <w:bottom w:w="80" w:type="dxa"/>
              <w:end w:w="100" w:type="dxa"/>
            </w:tcMar>
            <w:shd w:fill="DCE5EE"/>
          </w:tcPr>
          <w:p>
            <w:pPr>
              <w:spacing w:after="0" w:before="0"/>
            </w:pPr>
            <w:r>
              <w:rPr>
                <w:b/>
                <w:color w:val="233044"/>
                <w:sz w:val="18"/>
              </w:rPr>
              <w:t>场景</w:t>
            </w:r>
          </w:p>
        </w:tc>
        <w:tc>
          <w:tcPr>
            <w:tcW w:type="dxa" w:w="4608"/>
            <w:vAlign w:val="center"/>
            <w:tcMar>
              <w:top w:w="80" w:type="dxa"/>
              <w:start w:w="100" w:type="dxa"/>
              <w:bottom w:w="80" w:type="dxa"/>
              <w:end w:w="100" w:type="dxa"/>
            </w:tcMar>
            <w:shd w:fill="DCE5EE"/>
          </w:tcPr>
          <w:p>
            <w:pPr>
              <w:spacing w:after="0" w:before="0"/>
            </w:pPr>
            <w:r>
              <w:rPr>
                <w:b/>
                <w:color w:val="233044"/>
                <w:sz w:val="18"/>
              </w:rPr>
              <w:t>布局规则</w:t>
            </w:r>
          </w:p>
        </w:tc>
        <w:tc>
          <w:tcPr>
            <w:tcW w:type="dxa" w:w="3312"/>
            <w:vAlign w:val="center"/>
            <w:tcMar>
              <w:top w:w="80" w:type="dxa"/>
              <w:start w:w="100" w:type="dxa"/>
              <w:bottom w:w="80" w:type="dxa"/>
              <w:end w:w="100" w:type="dxa"/>
            </w:tcMar>
            <w:shd w:fill="DCE5EE"/>
          </w:tcPr>
          <w:p>
            <w:pPr>
              <w:spacing w:after="0" w:before="0"/>
            </w:pPr>
            <w:r>
              <w:rPr>
                <w:b/>
                <w:color w:val="233044"/>
                <w:sz w:val="18"/>
              </w:rPr>
              <w:t>核心保证</w:t>
            </w:r>
          </w:p>
        </w:tc>
        <w:trPr>
          <w:tblHeader/>
          <w:cantSplit/>
        </w:trPr>
      </w:tr>
      <w:tr>
        <w:trPr>
          <w:cantSplit/>
        </w:trPr>
        <w:tc>
          <w:tcPr>
            <w:tcW w:type="dxa" w:w="2304"/>
            <w:vAlign w:val="center"/>
            <w:tcMar>
              <w:top w:w="80" w:type="dxa"/>
              <w:start w:w="100" w:type="dxa"/>
              <w:bottom w:w="80" w:type="dxa"/>
              <w:end w:w="100" w:type="dxa"/>
            </w:tcMar>
          </w:tcPr>
          <w:p>
            <w:pPr>
              <w:spacing w:after="0" w:before="0"/>
            </w:pPr>
            <w:r>
              <w:rPr>
                <w:sz w:val="18"/>
              </w:rPr>
              <w:t>2K 2560×1440</w:t>
            </w:r>
          </w:p>
        </w:tc>
        <w:tc>
          <w:tcPr>
            <w:tcW w:type="dxa" w:w="4608"/>
            <w:vAlign w:val="center"/>
            <w:tcMar>
              <w:top w:w="80" w:type="dxa"/>
              <w:start w:w="100" w:type="dxa"/>
              <w:bottom w:w="80" w:type="dxa"/>
              <w:end w:w="100" w:type="dxa"/>
            </w:tcMar>
          </w:tcPr>
          <w:p>
            <w:pPr>
              <w:spacing w:after="0" w:before="0"/>
            </w:pPr>
            <w:r>
              <w:rPr>
                <w:sz w:val="18"/>
              </w:rPr>
              <w:t>完整三栏；正文760—860 CSS px；左右栏260—360px；剩余空间作为留白或辅助区域</w:t>
            </w:r>
          </w:p>
        </w:tc>
        <w:tc>
          <w:tcPr>
            <w:tcW w:type="dxa" w:w="3312"/>
            <w:vAlign w:val="center"/>
            <w:tcMar>
              <w:top w:w="80" w:type="dxa"/>
              <w:start w:w="100" w:type="dxa"/>
              <w:bottom w:w="80" w:type="dxa"/>
              <w:end w:w="100" w:type="dxa"/>
            </w:tcMar>
          </w:tcPr>
          <w:p>
            <w:pPr>
              <w:spacing w:after="0" w:before="0"/>
            </w:pPr>
            <w:r>
              <w:rPr>
                <w:sz w:val="18"/>
              </w:rPr>
              <w:t>正文不被拉宽，候选双栏可全屏展开</w:t>
            </w:r>
          </w:p>
        </w:tc>
      </w:tr>
      <w:tr>
        <w:trPr>
          <w:cantSplit/>
        </w:trPr>
        <w:tc>
          <w:tcPr>
            <w:tcW w:type="dxa" w:w="2304"/>
            <w:vAlign w:val="center"/>
            <w:tcMar>
              <w:top w:w="80" w:type="dxa"/>
              <w:start w:w="100" w:type="dxa"/>
              <w:bottom w:w="80" w:type="dxa"/>
              <w:end w:w="100" w:type="dxa"/>
            </w:tcMar>
            <w:shd w:fill="F6F7F8"/>
          </w:tcPr>
          <w:p>
            <w:pPr>
              <w:spacing w:after="0" w:before="0"/>
            </w:pPr>
            <w:r>
              <w:rPr>
                <w:sz w:val="18"/>
              </w:rPr>
              <w:t>21:9 3440×1440曲面/超宽屏</w:t>
            </w:r>
          </w:p>
        </w:tc>
        <w:tc>
          <w:tcPr>
            <w:tcW w:type="dxa" w:w="4608"/>
            <w:vAlign w:val="center"/>
            <w:tcMar>
              <w:top w:w="80" w:type="dxa"/>
              <w:start w:w="100" w:type="dxa"/>
              <w:bottom w:w="80" w:type="dxa"/>
              <w:end w:w="100" w:type="dxa"/>
            </w:tcMar>
            <w:shd w:fill="F6F7F8"/>
          </w:tcPr>
          <w:p>
            <w:pPr>
              <w:spacing w:after="0" w:before="0"/>
            </w:pPr>
            <w:r>
              <w:rPr>
                <w:sz w:val="18"/>
              </w:rPr>
              <w:t>中央视觉安全区；可并排当前稿与AI建议稿；低频面板停靠两侧但限制最大宽度</w:t>
            </w:r>
          </w:p>
        </w:tc>
        <w:tc>
          <w:tcPr>
            <w:tcW w:type="dxa" w:w="3312"/>
            <w:vAlign w:val="center"/>
            <w:tcMar>
              <w:top w:w="80" w:type="dxa"/>
              <w:start w:w="100" w:type="dxa"/>
              <w:bottom w:w="80" w:type="dxa"/>
              <w:end w:w="100" w:type="dxa"/>
            </w:tcMar>
            <w:shd w:fill="F6F7F8"/>
          </w:tcPr>
          <w:p>
            <w:pPr>
              <w:spacing w:after="0" w:before="0"/>
            </w:pPr>
            <w:r>
              <w:rPr>
                <w:sz w:val="18"/>
              </w:rPr>
              <w:t>关键操作和警告靠近内容区，不贴物理屏幕边缘</w:t>
            </w:r>
          </w:p>
        </w:tc>
      </w:tr>
      <w:tr>
        <w:trPr>
          <w:cantSplit/>
        </w:trPr>
        <w:tc>
          <w:tcPr>
            <w:tcW w:type="dxa" w:w="2304"/>
            <w:vAlign w:val="center"/>
            <w:tcMar>
              <w:top w:w="80" w:type="dxa"/>
              <w:start w:w="100" w:type="dxa"/>
              <w:bottom w:w="80" w:type="dxa"/>
              <w:end w:w="100" w:type="dxa"/>
            </w:tcMar>
          </w:tcPr>
          <w:p>
            <w:pPr>
              <w:spacing w:after="0" w:before="0"/>
            </w:pPr>
            <w:r>
              <w:rPr>
                <w:sz w:val="18"/>
              </w:rPr>
              <w:t>混合DPI双显示器</w:t>
            </w:r>
          </w:p>
        </w:tc>
        <w:tc>
          <w:tcPr>
            <w:tcW w:type="dxa" w:w="4608"/>
            <w:vAlign w:val="center"/>
            <w:tcMar>
              <w:top w:w="80" w:type="dxa"/>
              <w:start w:w="100" w:type="dxa"/>
              <w:bottom w:w="80" w:type="dxa"/>
              <w:end w:w="100" w:type="dxa"/>
            </w:tcMar>
          </w:tcPr>
          <w:p>
            <w:pPr>
              <w:spacing w:after="0" w:before="0"/>
            </w:pPr>
            <w:r>
              <w:rPr>
                <w:sz w:val="18"/>
              </w:rPr>
              <w:t>窗口状态保存为DIP坐标+displayId+scaleFactor；跨屏时重新计算边界</w:t>
            </w:r>
          </w:p>
        </w:tc>
        <w:tc>
          <w:tcPr>
            <w:tcW w:type="dxa" w:w="3312"/>
            <w:vAlign w:val="center"/>
            <w:tcMar>
              <w:top w:w="80" w:type="dxa"/>
              <w:start w:w="100" w:type="dxa"/>
              <w:bottom w:w="80" w:type="dxa"/>
              <w:end w:w="100" w:type="dxa"/>
            </w:tcMar>
          </w:tcPr>
          <w:p>
            <w:pPr>
              <w:spacing w:after="0" w:before="0"/>
            </w:pPr>
            <w:r>
              <w:rPr>
                <w:sz w:val="18"/>
              </w:rPr>
              <w:t>窗口不丢失、不缩成不可操作尺寸，字体和图标保持清晰</w:t>
            </w:r>
          </w:p>
        </w:tc>
      </w:tr>
      <w:tr>
        <w:trPr>
          <w:cantSplit/>
        </w:trPr>
        <w:tc>
          <w:tcPr>
            <w:tcW w:type="dxa" w:w="2304"/>
            <w:vAlign w:val="center"/>
            <w:tcMar>
              <w:top w:w="80" w:type="dxa"/>
              <w:start w:w="100" w:type="dxa"/>
              <w:bottom w:w="80" w:type="dxa"/>
              <w:end w:w="100" w:type="dxa"/>
            </w:tcMar>
            <w:shd w:fill="F6F7F8"/>
          </w:tcPr>
          <w:p>
            <w:pPr>
              <w:spacing w:after="0" w:before="0"/>
            </w:pPr>
            <w:r>
              <w:rPr>
                <w:sz w:val="18"/>
              </w:rPr>
              <w:t>系统缩放125%—150%</w:t>
            </w:r>
          </w:p>
        </w:tc>
        <w:tc>
          <w:tcPr>
            <w:tcW w:type="dxa" w:w="4608"/>
            <w:vAlign w:val="center"/>
            <w:tcMar>
              <w:top w:w="80" w:type="dxa"/>
              <w:start w:w="100" w:type="dxa"/>
              <w:bottom w:w="80" w:type="dxa"/>
              <w:end w:w="100" w:type="dxa"/>
            </w:tcMar>
            <w:shd w:fill="F6F7F8"/>
          </w:tcPr>
          <w:p>
            <w:pPr>
              <w:spacing w:after="0" w:before="0"/>
            </w:pPr>
            <w:r>
              <w:rPr>
                <w:sz w:val="18"/>
              </w:rPr>
              <w:t>全部布局以CSS逻辑像素计算；SVG图标；可调界面缩放</w:t>
            </w:r>
          </w:p>
        </w:tc>
        <w:tc>
          <w:tcPr>
            <w:tcW w:type="dxa" w:w="3312"/>
            <w:vAlign w:val="center"/>
            <w:tcMar>
              <w:top w:w="80" w:type="dxa"/>
              <w:start w:w="100" w:type="dxa"/>
              <w:bottom w:w="80" w:type="dxa"/>
              <w:end w:w="100" w:type="dxa"/>
            </w:tcMar>
            <w:shd w:fill="F6F7F8"/>
          </w:tcPr>
          <w:p>
            <w:pPr>
              <w:spacing w:after="0" w:before="0"/>
            </w:pPr>
            <w:r>
              <w:rPr>
                <w:sz w:val="18"/>
              </w:rPr>
              <w:t>不按物理像素硬编码，不出现模糊位图与截断</w:t>
            </w:r>
          </w:p>
        </w:tc>
      </w:tr>
    </w:tbl>
    <w:p>
      <w:pPr>
        <w:pStyle w:val="Heading2"/>
      </w:pPr>
      <w:r>
        <w:t>22.12 高分屏具体交互规范</w:t>
      </w:r>
    </w:p>
    <w:p>
      <w:pPr>
        <w:pStyle w:val="ListBullet"/>
      </w:pPr>
      <w:r>
        <w:t>编辑器版心提供窄680、标准760、宽860 CSS px三档；即使窗口更宽也不超过作者选择值。</w:t>
      </w:r>
    </w:p>
    <w:p>
      <w:pPr>
        <w:pStyle w:val="ListBullet"/>
      </w:pPr>
      <w:r>
        <w:t>界面缩放提供90%、100%、110%、125%、150%；正文文字大小与界面缩放可独立设置。</w:t>
      </w:r>
    </w:p>
    <w:p>
      <w:pPr>
        <w:pStyle w:val="ListBullet"/>
      </w:pPr>
      <w:r>
        <w:t>2K和超宽屏允许候选比较双栏总宽度最高1680 CSS px；正文单栏仍保持可读行长。</w:t>
      </w:r>
    </w:p>
    <w:p>
      <w:pPr>
        <w:pStyle w:val="ListBullet"/>
      </w:pPr>
      <w:r>
        <w:t>21:9屏幕支持“工作区对齐：居中/偏左/偏右”，用于作者将应用放在曲面屏不同视觉区域；只改变布局，不改变数据。</w:t>
      </w:r>
    </w:p>
    <w:p>
      <w:pPr>
        <w:pStyle w:val="ListBullet"/>
      </w:pPr>
      <w:r>
        <w:t>不可逆操作、保存失败和冲突确认必须位于当前工作区附近，禁止固定在超宽屏最远边缘。</w:t>
      </w:r>
    </w:p>
    <w:p>
      <w:pPr>
        <w:pStyle w:val="ListBullet"/>
      </w:pPr>
      <w:r>
        <w:t>所有功能图标使用SVG或矢量图；位图插图至少提供2x资源，避免2K/Retina模糊。</w:t>
      </w:r>
    </w:p>
    <w:p>
      <w:pPr>
        <w:pStyle w:val="ListBullet"/>
      </w:pPr>
      <w:r>
        <w:t>默认启用硬件加速；检测到显卡兼容问题时提供需重启的“兼容渲染模式”，不得静默关闭加速。</w:t>
      </w:r>
    </w:p>
    <w:p>
      <w:pPr>
        <w:pStyle w:val="ListBullet"/>
      </w:pPr>
      <w:r>
        <w:t>深色、护眼和高对比主题都必须在2K与125%缩放下验证文字对比和1px边界可见性。</w:t>
      </w:r>
    </w:p>
    <w:p>
      <w:pPr>
        <w:pStyle w:val="Heading2"/>
      </w:pPr>
      <w:r>
        <w:t>22.13 窗口、显示器与响应式恢复</w:t>
      </w:r>
    </w:p>
    <w:p>
      <w:pPr>
        <w:pStyle w:val="ListBullet"/>
      </w:pPr>
      <w:r>
        <w:t>保存窗口bounds、最大化状态、displayId、scaleFactor、左右栏宽度、版心宽度和工作区对齐。</w:t>
      </w:r>
    </w:p>
    <w:p>
      <w:pPr>
        <w:pStyle w:val="ListBullet"/>
      </w:pPr>
      <w:r>
        <w:t>重新打开时若原显示器存在，恢复到其workArea；若不存在，按比例迁移到主显示器并确保标题栏和主要按钮可见。</w:t>
      </w:r>
    </w:p>
    <w:p>
      <w:pPr>
        <w:pStyle w:val="ListBullet"/>
      </w:pPr>
      <w:r>
        <w:t>跨100%与150%缩放屏幕拖动窗口时，以DIP重新布局，禁止直接复用物理像素宽高。</w:t>
      </w:r>
    </w:p>
    <w:p>
      <w:pPr>
        <w:pStyle w:val="ListBullet"/>
      </w:pPr>
      <w:r>
        <w:t>有效视口小于1100 CSS px时，右栏改抽屉；小于900 CSS px时，左栏也改抽屉，正文保持优先。</w:t>
      </w:r>
    </w:p>
    <w:p>
      <w:pPr>
        <w:pStyle w:val="ListBullet"/>
      </w:pPr>
      <w:r>
        <w:t>候选比较在宽屏使用左右同步滚动，在窄屏自动切换上下比较或单稿切换，不产生整页横向滚动。</w:t>
      </w:r>
    </w:p>
    <w:p>
      <w:pPr>
        <w:pStyle w:val="Heading2"/>
      </w:pPr>
      <w:r>
        <w:t>22.14 显示与性能测试矩阵</w:t>
      </w:r>
    </w:p>
    <w:tbl>
      <w:tblPr>
        <w:tblStyle w:val="TableGrid"/>
        <w:tblW w:type="auto" w:w="0"/>
        <w:jc w:val="center"/>
        <w:tblLook w:firstColumn="1" w:firstRow="1" w:lastColumn="0" w:lastRow="0" w:noHBand="0" w:noVBand="1" w:val="04A0"/>
      </w:tblPr>
      <w:tblGrid>
        <w:gridCol w:w="3213"/>
        <w:gridCol w:w="3213"/>
        <w:gridCol w:w="3213"/>
      </w:tblGrid>
      <w:tr>
        <w:tc>
          <w:tcPr>
            <w:tcW w:type="dxa" w:w="2880"/>
            <w:vAlign w:val="center"/>
            <w:tcMar>
              <w:top w:w="80" w:type="dxa"/>
              <w:start w:w="100" w:type="dxa"/>
              <w:bottom w:w="80" w:type="dxa"/>
              <w:end w:w="100" w:type="dxa"/>
            </w:tcMar>
            <w:shd w:fill="DCE5EE"/>
          </w:tcPr>
          <w:p>
            <w:pPr>
              <w:spacing w:after="0" w:before="0"/>
            </w:pPr>
            <w:r>
              <w:rPr>
                <w:b/>
                <w:color w:val="233044"/>
                <w:sz w:val="18"/>
              </w:rPr>
              <w:t>设备/视口</w:t>
            </w:r>
          </w:p>
        </w:tc>
        <w:tc>
          <w:tcPr>
            <w:tcW w:type="dxa" w:w="2016"/>
            <w:vAlign w:val="center"/>
            <w:tcMar>
              <w:top w:w="80" w:type="dxa"/>
              <w:start w:w="100" w:type="dxa"/>
              <w:bottom w:w="80" w:type="dxa"/>
              <w:end w:w="100" w:type="dxa"/>
            </w:tcMar>
            <w:shd w:fill="DCE5EE"/>
          </w:tcPr>
          <w:p>
            <w:pPr>
              <w:spacing w:after="0" w:before="0"/>
            </w:pPr>
            <w:r>
              <w:rPr>
                <w:b/>
                <w:color w:val="233044"/>
                <w:sz w:val="18"/>
              </w:rPr>
              <w:t>缩放</w:t>
            </w:r>
          </w:p>
        </w:tc>
        <w:tc>
          <w:tcPr>
            <w:tcW w:type="dxa" w:w="5328"/>
            <w:vAlign w:val="center"/>
            <w:tcMar>
              <w:top w:w="80" w:type="dxa"/>
              <w:start w:w="100" w:type="dxa"/>
              <w:bottom w:w="80" w:type="dxa"/>
              <w:end w:w="100" w:type="dxa"/>
            </w:tcMar>
            <w:shd w:fill="DCE5EE"/>
          </w:tcPr>
          <w:p>
            <w:pPr>
              <w:spacing w:after="0" w:before="0"/>
            </w:pPr>
            <w:r>
              <w:rPr>
                <w:b/>
                <w:color w:val="233044"/>
                <w:sz w:val="18"/>
              </w:rPr>
              <w:t>必须验证</w:t>
            </w:r>
          </w:p>
        </w:tc>
        <w:trPr>
          <w:tblHeader/>
          <w:cantSplit/>
        </w:trPr>
      </w:tr>
      <w:tr>
        <w:trPr>
          <w:cantSplit/>
        </w:trPr>
        <w:tc>
          <w:tcPr>
            <w:tcW w:type="dxa" w:w="2880"/>
            <w:vAlign w:val="center"/>
            <w:tcMar>
              <w:top w:w="80" w:type="dxa"/>
              <w:start w:w="100" w:type="dxa"/>
              <w:bottom w:w="80" w:type="dxa"/>
              <w:end w:w="100" w:type="dxa"/>
            </w:tcMar>
          </w:tcPr>
          <w:p>
            <w:pPr>
              <w:spacing w:after="0" w:before="0"/>
            </w:pPr>
            <w:r>
              <w:rPr>
                <w:sz w:val="18"/>
              </w:rPr>
              <w:t>1280×800 / 1366×768</w:t>
            </w:r>
          </w:p>
        </w:tc>
        <w:tc>
          <w:tcPr>
            <w:tcW w:type="dxa" w:w="2016"/>
            <w:vAlign w:val="center"/>
            <w:tcMar>
              <w:top w:w="80" w:type="dxa"/>
              <w:start w:w="100" w:type="dxa"/>
              <w:bottom w:w="80" w:type="dxa"/>
              <w:end w:w="100" w:type="dxa"/>
            </w:tcMar>
          </w:tcPr>
          <w:p>
            <w:pPr>
              <w:spacing w:after="0" w:before="0"/>
            </w:pPr>
            <w:r>
              <w:rPr>
                <w:sz w:val="18"/>
              </w:rPr>
              <w:t>100%、125%</w:t>
            </w:r>
          </w:p>
        </w:tc>
        <w:tc>
          <w:tcPr>
            <w:tcW w:type="dxa" w:w="5328"/>
            <w:vAlign w:val="center"/>
            <w:tcMar>
              <w:top w:w="80" w:type="dxa"/>
              <w:start w:w="100" w:type="dxa"/>
              <w:bottom w:w="80" w:type="dxa"/>
              <w:end w:w="100" w:type="dxa"/>
            </w:tcMar>
          </w:tcPr>
          <w:p>
            <w:pPr>
              <w:spacing w:after="0" w:before="0"/>
            </w:pPr>
            <w:r>
              <w:rPr>
                <w:sz w:val="18"/>
              </w:rPr>
              <w:t>正文可读、侧栏抽屉、核心按钮不遮挡</w:t>
            </w:r>
          </w:p>
        </w:tc>
      </w:tr>
      <w:tr>
        <w:trPr>
          <w:cantSplit/>
        </w:trPr>
        <w:tc>
          <w:tcPr>
            <w:tcW w:type="dxa" w:w="2880"/>
            <w:vAlign w:val="center"/>
            <w:tcMar>
              <w:top w:w="80" w:type="dxa"/>
              <w:start w:w="100" w:type="dxa"/>
              <w:bottom w:w="80" w:type="dxa"/>
              <w:end w:w="100" w:type="dxa"/>
            </w:tcMar>
            <w:shd w:fill="F6F7F8"/>
          </w:tcPr>
          <w:p>
            <w:pPr>
              <w:spacing w:after="0" w:before="0"/>
            </w:pPr>
            <w:r>
              <w:rPr>
                <w:sz w:val="18"/>
              </w:rPr>
              <w:t>1920×1080</w:t>
            </w:r>
          </w:p>
        </w:tc>
        <w:tc>
          <w:tcPr>
            <w:tcW w:type="dxa" w:w="2016"/>
            <w:vAlign w:val="center"/>
            <w:tcMar>
              <w:top w:w="80" w:type="dxa"/>
              <w:start w:w="100" w:type="dxa"/>
              <w:bottom w:w="80" w:type="dxa"/>
              <w:end w:w="100" w:type="dxa"/>
            </w:tcMar>
            <w:shd w:fill="F6F7F8"/>
          </w:tcPr>
          <w:p>
            <w:pPr>
              <w:spacing w:after="0" w:before="0"/>
            </w:pPr>
            <w:r>
              <w:rPr>
                <w:sz w:val="18"/>
              </w:rPr>
              <w:t>100%、125%</w:t>
            </w:r>
          </w:p>
        </w:tc>
        <w:tc>
          <w:tcPr>
            <w:tcW w:type="dxa" w:w="5328"/>
            <w:vAlign w:val="center"/>
            <w:tcMar>
              <w:top w:w="80" w:type="dxa"/>
              <w:start w:w="100" w:type="dxa"/>
              <w:bottom w:w="80" w:type="dxa"/>
              <w:end w:w="100" w:type="dxa"/>
            </w:tcMar>
            <w:shd w:fill="F6F7F8"/>
          </w:tcPr>
          <w:p>
            <w:pPr>
              <w:spacing w:after="0" w:before="0"/>
            </w:pPr>
            <w:r>
              <w:rPr>
                <w:sz w:val="18"/>
              </w:rPr>
              <w:t>完整三栏与沉浸写作</w:t>
            </w:r>
          </w:p>
        </w:tc>
      </w:tr>
      <w:tr>
        <w:trPr>
          <w:cantSplit/>
        </w:trPr>
        <w:tc>
          <w:tcPr>
            <w:tcW w:type="dxa" w:w="2880"/>
            <w:vAlign w:val="center"/>
            <w:tcMar>
              <w:top w:w="80" w:type="dxa"/>
              <w:start w:w="100" w:type="dxa"/>
              <w:bottom w:w="80" w:type="dxa"/>
              <w:end w:w="100" w:type="dxa"/>
            </w:tcMar>
          </w:tcPr>
          <w:p>
            <w:pPr>
              <w:spacing w:after="0" w:before="0"/>
            </w:pPr>
            <w:r>
              <w:rPr>
                <w:sz w:val="18"/>
              </w:rPr>
              <w:t>2560×1440（2K）</w:t>
            </w:r>
          </w:p>
        </w:tc>
        <w:tc>
          <w:tcPr>
            <w:tcW w:type="dxa" w:w="2016"/>
            <w:vAlign w:val="center"/>
            <w:tcMar>
              <w:top w:w="80" w:type="dxa"/>
              <w:start w:w="100" w:type="dxa"/>
              <w:bottom w:w="80" w:type="dxa"/>
              <w:end w:w="100" w:type="dxa"/>
            </w:tcMar>
          </w:tcPr>
          <w:p>
            <w:pPr>
              <w:spacing w:after="0" w:before="0"/>
            </w:pPr>
            <w:r>
              <w:rPr>
                <w:sz w:val="18"/>
              </w:rPr>
              <w:t>100%、125%、150%</w:t>
            </w:r>
          </w:p>
        </w:tc>
        <w:tc>
          <w:tcPr>
            <w:tcW w:type="dxa" w:w="5328"/>
            <w:vAlign w:val="center"/>
            <w:tcMar>
              <w:top w:w="80" w:type="dxa"/>
              <w:start w:w="100" w:type="dxa"/>
              <w:bottom w:w="80" w:type="dxa"/>
              <w:end w:w="100" w:type="dxa"/>
            </w:tcMar>
          </w:tcPr>
          <w:p>
            <w:pPr>
              <w:spacing w:after="0" w:before="0"/>
            </w:pPr>
            <w:r>
              <w:rPr>
                <w:sz w:val="18"/>
              </w:rPr>
              <w:t>三栏、候选全屏、设置/导入/冲突页面、字体锐度</w:t>
            </w:r>
          </w:p>
        </w:tc>
      </w:tr>
      <w:tr>
        <w:trPr>
          <w:cantSplit/>
        </w:trPr>
        <w:tc>
          <w:tcPr>
            <w:tcW w:type="dxa" w:w="2880"/>
            <w:vAlign w:val="center"/>
            <w:tcMar>
              <w:top w:w="80" w:type="dxa"/>
              <w:start w:w="100" w:type="dxa"/>
              <w:bottom w:w="80" w:type="dxa"/>
              <w:end w:w="100" w:type="dxa"/>
            </w:tcMar>
            <w:shd w:fill="F6F7F8"/>
          </w:tcPr>
          <w:p>
            <w:pPr>
              <w:spacing w:after="0" w:before="0"/>
            </w:pPr>
            <w:r>
              <w:rPr>
                <w:sz w:val="18"/>
              </w:rPr>
              <w:t>3440×1440（21:9曲面/超宽）</w:t>
            </w:r>
          </w:p>
        </w:tc>
        <w:tc>
          <w:tcPr>
            <w:tcW w:type="dxa" w:w="2016"/>
            <w:vAlign w:val="center"/>
            <w:tcMar>
              <w:top w:w="80" w:type="dxa"/>
              <w:start w:w="100" w:type="dxa"/>
              <w:bottom w:w="80" w:type="dxa"/>
              <w:end w:w="100" w:type="dxa"/>
            </w:tcMar>
            <w:shd w:fill="F6F7F8"/>
          </w:tcPr>
          <w:p>
            <w:pPr>
              <w:spacing w:after="0" w:before="0"/>
            </w:pPr>
            <w:r>
              <w:rPr>
                <w:sz w:val="18"/>
              </w:rPr>
              <w:t>100%、125%</w:t>
            </w:r>
          </w:p>
        </w:tc>
        <w:tc>
          <w:tcPr>
            <w:tcW w:type="dxa" w:w="5328"/>
            <w:vAlign w:val="center"/>
            <w:tcMar>
              <w:top w:w="80" w:type="dxa"/>
              <w:start w:w="100" w:type="dxa"/>
              <w:bottom w:w="80" w:type="dxa"/>
              <w:end w:w="100" w:type="dxa"/>
            </w:tcMar>
            <w:shd w:fill="F6F7F8"/>
          </w:tcPr>
          <w:p>
            <w:pPr>
              <w:spacing w:after="0" w:before="0"/>
            </w:pPr>
            <w:r>
              <w:rPr>
                <w:sz w:val="18"/>
              </w:rPr>
              <w:t>中央安全区、双栏候选、工作区对齐、边缘通知</w:t>
            </w:r>
          </w:p>
        </w:tc>
      </w:tr>
      <w:tr>
        <w:trPr>
          <w:cantSplit/>
        </w:trPr>
        <w:tc>
          <w:tcPr>
            <w:tcW w:type="dxa" w:w="2880"/>
            <w:vAlign w:val="center"/>
            <w:tcMar>
              <w:top w:w="80" w:type="dxa"/>
              <w:start w:w="100" w:type="dxa"/>
              <w:bottom w:w="80" w:type="dxa"/>
              <w:end w:w="100" w:type="dxa"/>
            </w:tcMar>
          </w:tcPr>
          <w:p>
            <w:pPr>
              <w:spacing w:after="0" w:before="0"/>
            </w:pPr>
            <w:r>
              <w:rPr>
                <w:sz w:val="18"/>
              </w:rPr>
              <w:t>3840×1600或同级超宽</w:t>
            </w:r>
          </w:p>
        </w:tc>
        <w:tc>
          <w:tcPr>
            <w:tcW w:type="dxa" w:w="2016"/>
            <w:vAlign w:val="center"/>
            <w:tcMar>
              <w:top w:w="80" w:type="dxa"/>
              <w:start w:w="100" w:type="dxa"/>
              <w:bottom w:w="80" w:type="dxa"/>
              <w:end w:w="100" w:type="dxa"/>
            </w:tcMar>
          </w:tcPr>
          <w:p>
            <w:pPr>
              <w:spacing w:after="0" w:before="0"/>
            </w:pPr>
            <w:r>
              <w:rPr>
                <w:sz w:val="18"/>
              </w:rPr>
              <w:t>125%</w:t>
            </w:r>
          </w:p>
        </w:tc>
        <w:tc>
          <w:tcPr>
            <w:tcW w:type="dxa" w:w="5328"/>
            <w:vAlign w:val="center"/>
            <w:tcMar>
              <w:top w:w="80" w:type="dxa"/>
              <w:start w:w="100" w:type="dxa"/>
              <w:bottom w:w="80" w:type="dxa"/>
              <w:end w:w="100" w:type="dxa"/>
            </w:tcMar>
          </w:tcPr>
          <w:p>
            <w:pPr>
              <w:spacing w:after="0" w:before="0"/>
            </w:pPr>
            <w:r>
              <w:rPr>
                <w:sz w:val="18"/>
              </w:rPr>
              <w:t>面板最大宽度、无无限拉伸、窗口恢复</w:t>
            </w:r>
          </w:p>
        </w:tc>
      </w:tr>
      <w:tr>
        <w:trPr>
          <w:cantSplit/>
        </w:trPr>
        <w:tc>
          <w:tcPr>
            <w:tcW w:type="dxa" w:w="2880"/>
            <w:vAlign w:val="center"/>
            <w:tcMar>
              <w:top w:w="80" w:type="dxa"/>
              <w:start w:w="100" w:type="dxa"/>
              <w:bottom w:w="80" w:type="dxa"/>
              <w:end w:w="100" w:type="dxa"/>
            </w:tcMar>
            <w:shd w:fill="F6F7F8"/>
          </w:tcPr>
          <w:p>
            <w:pPr>
              <w:spacing w:after="0" w:before="0"/>
            </w:pPr>
            <w:r>
              <w:rPr>
                <w:sz w:val="18"/>
              </w:rPr>
              <w:t>双屏：1080p + 2K</w:t>
            </w:r>
          </w:p>
        </w:tc>
        <w:tc>
          <w:tcPr>
            <w:tcW w:type="dxa" w:w="2016"/>
            <w:vAlign w:val="center"/>
            <w:tcMar>
              <w:top w:w="80" w:type="dxa"/>
              <w:start w:w="100" w:type="dxa"/>
              <w:bottom w:w="80" w:type="dxa"/>
              <w:end w:w="100" w:type="dxa"/>
            </w:tcMar>
            <w:shd w:fill="F6F7F8"/>
          </w:tcPr>
          <w:p>
            <w:pPr>
              <w:spacing w:after="0" w:before="0"/>
            </w:pPr>
            <w:r>
              <w:rPr>
                <w:sz w:val="18"/>
              </w:rPr>
              <w:t>混合100%/125%/150%</w:t>
            </w:r>
          </w:p>
        </w:tc>
        <w:tc>
          <w:tcPr>
            <w:tcW w:type="dxa" w:w="5328"/>
            <w:vAlign w:val="center"/>
            <w:tcMar>
              <w:top w:w="80" w:type="dxa"/>
              <w:start w:w="100" w:type="dxa"/>
              <w:bottom w:w="80" w:type="dxa"/>
              <w:end w:w="100" w:type="dxa"/>
            </w:tcMar>
            <w:shd w:fill="F6F7F8"/>
          </w:tcPr>
          <w:p>
            <w:pPr>
              <w:spacing w:after="0" w:before="0"/>
            </w:pPr>
            <w:r>
              <w:rPr>
                <w:sz w:val="18"/>
              </w:rPr>
              <w:t>跨屏拖动、窗口恢复、缩放切换</w:t>
            </w:r>
          </w:p>
        </w:tc>
      </w:tr>
      <w:tr>
        <w:trPr>
          <w:cantSplit/>
        </w:trPr>
        <w:tc>
          <w:tcPr>
            <w:tcW w:type="dxa" w:w="2880"/>
            <w:vAlign w:val="center"/>
            <w:tcMar>
              <w:top w:w="80" w:type="dxa"/>
              <w:start w:w="100" w:type="dxa"/>
              <w:bottom w:w="80" w:type="dxa"/>
              <w:end w:w="100" w:type="dxa"/>
            </w:tcMar>
          </w:tcPr>
          <w:p>
            <w:pPr>
              <w:spacing w:after="0" w:before="0"/>
            </w:pPr>
            <w:r>
              <w:rPr>
                <w:sz w:val="18"/>
              </w:rPr>
              <w:t>macOS Retina等效1280×800</w:t>
            </w:r>
          </w:p>
        </w:tc>
        <w:tc>
          <w:tcPr>
            <w:tcW w:type="dxa" w:w="2016"/>
            <w:vAlign w:val="center"/>
            <w:tcMar>
              <w:top w:w="80" w:type="dxa"/>
              <w:start w:w="100" w:type="dxa"/>
              <w:bottom w:w="80" w:type="dxa"/>
              <w:end w:w="100" w:type="dxa"/>
            </w:tcMar>
          </w:tcPr>
          <w:p>
            <w:pPr>
              <w:spacing w:after="0" w:before="0"/>
            </w:pPr>
            <w:r>
              <w:rPr>
                <w:sz w:val="18"/>
              </w:rPr>
              <w:t>系统缩放</w:t>
            </w:r>
          </w:p>
        </w:tc>
        <w:tc>
          <w:tcPr>
            <w:tcW w:type="dxa" w:w="5328"/>
            <w:vAlign w:val="center"/>
            <w:tcMar>
              <w:top w:w="80" w:type="dxa"/>
              <w:start w:w="100" w:type="dxa"/>
              <w:bottom w:w="80" w:type="dxa"/>
              <w:end w:w="100" w:type="dxa"/>
            </w:tcMar>
          </w:tcPr>
          <w:p>
            <w:pPr>
              <w:spacing w:after="0" w:before="0"/>
            </w:pPr>
            <w:r>
              <w:rPr>
                <w:sz w:val="18"/>
              </w:rPr>
              <w:t>逻辑像素布局、正文清晰、菜单与弹层位置</w:t>
            </w:r>
          </w:p>
        </w:tc>
      </w:tr>
    </w:tbl>
    <w:tbl>
      <w:tblPr>
        <w:tblStyle w:val="TableGrid"/>
        <w:tblW w:type="auto" w:w="0"/>
        <w:jc w:val="center"/>
        <w:tblLook w:firstColumn="1" w:firstRow="1" w:lastColumn="0" w:lastRow="0" w:noHBand="0" w:noVBand="1" w:val="04A0"/>
      </w:tblPr>
      <w:tblGrid>
        <w:gridCol w:w="4819"/>
        <w:gridCol w:w="4819"/>
      </w:tblGrid>
      <w:tr>
        <w:tc>
          <w:tcPr>
            <w:tcW w:type="dxa" w:w="2880"/>
            <w:vAlign w:val="center"/>
            <w:tcMar>
              <w:top w:w="80" w:type="dxa"/>
              <w:start w:w="100" w:type="dxa"/>
              <w:bottom w:w="80" w:type="dxa"/>
              <w:end w:w="100" w:type="dxa"/>
            </w:tcMar>
            <w:shd w:fill="DCE5EE"/>
          </w:tcPr>
          <w:p>
            <w:pPr>
              <w:spacing w:after="0" w:before="0"/>
            </w:pPr>
            <w:r>
              <w:rPr>
                <w:b/>
                <w:color w:val="233044"/>
                <w:sz w:val="18"/>
              </w:rPr>
              <w:t>性能指标</w:t>
            </w:r>
          </w:p>
        </w:tc>
        <w:tc>
          <w:tcPr>
            <w:tcW w:type="dxa" w:w="7344"/>
            <w:vAlign w:val="center"/>
            <w:tcMar>
              <w:top w:w="80" w:type="dxa"/>
              <w:start w:w="100" w:type="dxa"/>
              <w:bottom w:w="80" w:type="dxa"/>
              <w:end w:w="100" w:type="dxa"/>
            </w:tcMar>
            <w:shd w:fill="DCE5EE"/>
          </w:tcPr>
          <w:p>
            <w:pPr>
              <w:spacing w:after="0" w:before="0"/>
            </w:pPr>
            <w:r>
              <w:rPr>
                <w:b/>
                <w:color w:val="233044"/>
                <w:sz w:val="18"/>
              </w:rPr>
              <w:t>V1.0门槛</w:t>
            </w:r>
          </w:p>
        </w:tc>
        <w:trPr>
          <w:tblHeader/>
          <w:cantSplit/>
        </w:trPr>
      </w:tr>
      <w:tr>
        <w:trPr>
          <w:cantSplit/>
        </w:trPr>
        <w:tc>
          <w:tcPr>
            <w:tcW w:type="dxa" w:w="2880"/>
            <w:vAlign w:val="center"/>
            <w:tcMar>
              <w:top w:w="80" w:type="dxa"/>
              <w:start w:w="100" w:type="dxa"/>
              <w:bottom w:w="80" w:type="dxa"/>
              <w:end w:w="100" w:type="dxa"/>
            </w:tcMar>
          </w:tcPr>
          <w:p>
            <w:pPr>
              <w:spacing w:after="0" w:before="0"/>
            </w:pPr>
            <w:r>
              <w:rPr>
                <w:sz w:val="18"/>
              </w:rPr>
              <w:t>键入到绘制</w:t>
            </w:r>
          </w:p>
        </w:tc>
        <w:tc>
          <w:tcPr>
            <w:tcW w:type="dxa" w:w="7344"/>
            <w:vAlign w:val="center"/>
            <w:tcMar>
              <w:top w:w="80" w:type="dxa"/>
              <w:start w:w="100" w:type="dxa"/>
              <w:bottom w:w="80" w:type="dxa"/>
              <w:end w:w="100" w:type="dxa"/>
            </w:tcMar>
          </w:tcPr>
          <w:p>
            <w:pPr>
              <w:spacing w:after="0" w:before="0"/>
            </w:pPr>
            <w:r>
              <w:rPr>
                <w:sz w:val="18"/>
              </w:rPr>
              <w:t>P95 ≤ 50ms；中文IME组合期间无丢字、跳光标</w:t>
            </w:r>
          </w:p>
        </w:tc>
      </w:tr>
      <w:tr>
        <w:trPr>
          <w:cantSplit/>
        </w:trPr>
        <w:tc>
          <w:tcPr>
            <w:tcW w:type="dxa" w:w="2880"/>
            <w:vAlign w:val="center"/>
            <w:tcMar>
              <w:top w:w="80" w:type="dxa"/>
              <w:start w:w="100" w:type="dxa"/>
              <w:bottom w:w="80" w:type="dxa"/>
              <w:end w:w="100" w:type="dxa"/>
            </w:tcMar>
            <w:shd w:fill="F6F7F8"/>
          </w:tcPr>
          <w:p>
            <w:pPr>
              <w:spacing w:after="0" w:before="0"/>
            </w:pPr>
            <w:r>
              <w:rPr>
                <w:sz w:val="18"/>
              </w:rPr>
              <w:t>普通IPC命令</w:t>
            </w:r>
          </w:p>
        </w:tc>
        <w:tc>
          <w:tcPr>
            <w:tcW w:type="dxa" w:w="7344"/>
            <w:vAlign w:val="center"/>
            <w:tcMar>
              <w:top w:w="80" w:type="dxa"/>
              <w:start w:w="100" w:type="dxa"/>
              <w:bottom w:w="80" w:type="dxa"/>
              <w:end w:w="100" w:type="dxa"/>
            </w:tcMar>
            <w:shd w:fill="F6F7F8"/>
          </w:tcPr>
          <w:p>
            <w:pPr>
              <w:spacing w:after="0" w:before="0"/>
            </w:pPr>
            <w:r>
              <w:rPr>
                <w:sz w:val="18"/>
              </w:rPr>
              <w:t>P95 ≤ 200ms</w:t>
            </w:r>
          </w:p>
        </w:tc>
      </w:tr>
      <w:tr>
        <w:trPr>
          <w:cantSplit/>
        </w:trPr>
        <w:tc>
          <w:tcPr>
            <w:tcW w:type="dxa" w:w="2880"/>
            <w:vAlign w:val="center"/>
            <w:tcMar>
              <w:top w:w="80" w:type="dxa"/>
              <w:start w:w="100" w:type="dxa"/>
              <w:bottom w:w="80" w:type="dxa"/>
              <w:end w:w="100" w:type="dxa"/>
            </w:tcMar>
          </w:tcPr>
          <w:p>
            <w:pPr>
              <w:spacing w:after="0" w:before="0"/>
            </w:pPr>
            <w:r>
              <w:rPr>
                <w:sz w:val="18"/>
              </w:rPr>
              <w:t>自动保存提交</w:t>
            </w:r>
          </w:p>
        </w:tc>
        <w:tc>
          <w:tcPr>
            <w:tcW w:type="dxa" w:w="7344"/>
            <w:vAlign w:val="center"/>
            <w:tcMar>
              <w:top w:w="80" w:type="dxa"/>
              <w:start w:w="100" w:type="dxa"/>
              <w:bottom w:w="80" w:type="dxa"/>
              <w:end w:w="100" w:type="dxa"/>
            </w:tcMar>
          </w:tcPr>
          <w:p>
            <w:pPr>
              <w:spacing w:after="0" w:before="0"/>
            </w:pPr>
            <w:r>
              <w:rPr>
                <w:sz w:val="18"/>
              </w:rPr>
              <w:t>P95 ≤ 150ms；失败有明确状态且不丢当前内存内容</w:t>
            </w:r>
          </w:p>
        </w:tc>
      </w:tr>
      <w:tr>
        <w:trPr>
          <w:cantSplit/>
        </w:trPr>
        <w:tc>
          <w:tcPr>
            <w:tcW w:type="dxa" w:w="2880"/>
            <w:vAlign w:val="center"/>
            <w:tcMar>
              <w:top w:w="80" w:type="dxa"/>
              <w:start w:w="100" w:type="dxa"/>
              <w:bottom w:w="80" w:type="dxa"/>
              <w:end w:w="100" w:type="dxa"/>
            </w:tcMar>
            <w:shd w:fill="F6F7F8"/>
          </w:tcPr>
          <w:p>
            <w:pPr>
              <w:spacing w:after="0" w:before="0"/>
            </w:pPr>
            <w:r>
              <w:rPr>
                <w:sz w:val="18"/>
              </w:rPr>
              <w:t>2K正文滚动</w:t>
            </w:r>
          </w:p>
        </w:tc>
        <w:tc>
          <w:tcPr>
            <w:tcW w:type="dxa" w:w="7344"/>
            <w:vAlign w:val="center"/>
            <w:tcMar>
              <w:top w:w="80" w:type="dxa"/>
              <w:start w:w="100" w:type="dxa"/>
              <w:bottom w:w="80" w:type="dxa"/>
              <w:end w:w="100" w:type="dxa"/>
            </w:tcMar>
            <w:shd w:fill="F6F7F8"/>
          </w:tcPr>
          <w:p>
            <w:pPr>
              <w:spacing w:after="0" w:before="0"/>
            </w:pPr>
            <w:r>
              <w:rPr>
                <w:sz w:val="18"/>
              </w:rPr>
              <w:t>稳定接近60fps；持续低于50fps视为性能缺陷</w:t>
            </w:r>
          </w:p>
        </w:tc>
      </w:tr>
      <w:tr>
        <w:trPr>
          <w:cantSplit/>
        </w:trPr>
        <w:tc>
          <w:tcPr>
            <w:tcW w:type="dxa" w:w="2880"/>
            <w:vAlign w:val="center"/>
            <w:tcMar>
              <w:top w:w="80" w:type="dxa"/>
              <w:start w:w="100" w:type="dxa"/>
              <w:bottom w:w="80" w:type="dxa"/>
              <w:end w:w="100" w:type="dxa"/>
            </w:tcMar>
          </w:tcPr>
          <w:p>
            <w:pPr>
              <w:spacing w:after="0" w:before="0"/>
            </w:pPr>
            <w:r>
              <w:rPr>
                <w:sz w:val="18"/>
              </w:rPr>
              <w:t>5000字候选Diff</w:t>
            </w:r>
          </w:p>
        </w:tc>
        <w:tc>
          <w:tcPr>
            <w:tcW w:type="dxa" w:w="7344"/>
            <w:vAlign w:val="center"/>
            <w:tcMar>
              <w:top w:w="80" w:type="dxa"/>
              <w:start w:w="100" w:type="dxa"/>
              <w:bottom w:w="80" w:type="dxa"/>
              <w:end w:w="100" w:type="dxa"/>
            </w:tcMar>
          </w:tcPr>
          <w:p>
            <w:pPr>
              <w:spacing w:after="0" w:before="0"/>
            </w:pPr>
            <w:r>
              <w:rPr>
                <w:sz w:val="18"/>
              </w:rPr>
              <w:t>首屏结果≤500ms，完整差异≤1.2s；期间界面可取消</w:t>
            </w:r>
          </w:p>
        </w:tc>
      </w:tr>
      <w:tr>
        <w:trPr>
          <w:cantSplit/>
        </w:trPr>
        <w:tc>
          <w:tcPr>
            <w:tcW w:type="dxa" w:w="2880"/>
            <w:vAlign w:val="center"/>
            <w:tcMar>
              <w:top w:w="80" w:type="dxa"/>
              <w:start w:w="100" w:type="dxa"/>
              <w:bottom w:w="80" w:type="dxa"/>
              <w:end w:w="100" w:type="dxa"/>
            </w:tcMar>
            <w:shd w:fill="F6F7F8"/>
          </w:tcPr>
          <w:p>
            <w:pPr>
              <w:spacing w:after="0" w:before="0"/>
            </w:pPr>
            <w:r>
              <w:rPr>
                <w:sz w:val="18"/>
              </w:rPr>
              <w:t>章节切换</w:t>
            </w:r>
          </w:p>
        </w:tc>
        <w:tc>
          <w:tcPr>
            <w:tcW w:type="dxa" w:w="7344"/>
            <w:vAlign w:val="center"/>
            <w:tcMar>
              <w:top w:w="80" w:type="dxa"/>
              <w:start w:w="100" w:type="dxa"/>
              <w:bottom w:w="80" w:type="dxa"/>
              <w:end w:w="100" w:type="dxa"/>
            </w:tcMar>
            <w:shd w:fill="F6F7F8"/>
          </w:tcPr>
          <w:p>
            <w:pPr>
              <w:spacing w:after="0" w:before="0"/>
            </w:pPr>
            <w:r>
              <w:rPr>
                <w:sz w:val="18"/>
              </w:rPr>
              <w:t>缓存命中≤300ms；未命中显示真实加载状态</w:t>
            </w:r>
          </w:p>
        </w:tc>
      </w:tr>
      <w:tr>
        <w:trPr>
          <w:cantSplit/>
        </w:trPr>
        <w:tc>
          <w:tcPr>
            <w:tcW w:type="dxa" w:w="2880"/>
            <w:vAlign w:val="center"/>
            <w:tcMar>
              <w:top w:w="80" w:type="dxa"/>
              <w:start w:w="100" w:type="dxa"/>
              <w:bottom w:w="80" w:type="dxa"/>
              <w:end w:w="100" w:type="dxa"/>
            </w:tcMar>
          </w:tcPr>
          <w:p>
            <w:pPr>
              <w:spacing w:after="0" w:before="0"/>
            </w:pPr>
            <w:r>
              <w:rPr>
                <w:sz w:val="18"/>
              </w:rPr>
              <w:t>AI取消</w:t>
            </w:r>
          </w:p>
        </w:tc>
        <w:tc>
          <w:tcPr>
            <w:tcW w:type="dxa" w:w="7344"/>
            <w:vAlign w:val="center"/>
            <w:tcMar>
              <w:top w:w="80" w:type="dxa"/>
              <w:start w:w="100" w:type="dxa"/>
              <w:bottom w:w="80" w:type="dxa"/>
              <w:end w:w="100" w:type="dxa"/>
            </w:tcMar>
          </w:tcPr>
          <w:p>
            <w:pPr>
              <w:spacing w:after="0" w:before="0"/>
            </w:pPr>
            <w:r>
              <w:rPr>
                <w:sz w:val="18"/>
              </w:rPr>
              <w:t>≤500ms反馈</w:t>
            </w:r>
          </w:p>
        </w:tc>
      </w:tr>
    </w:tbl>
    <w:p>
      <w:pPr>
        <w:pStyle w:val="Heading2"/>
      </w:pPr>
      <w:r>
        <w:t>22.15 跨平台路径、打包与许可证门</w:t>
      </w:r>
    </w:p>
    <w:p>
      <w:pPr>
        <w:pStyle w:val="ListBullet"/>
      </w:pPr>
      <w:r>
        <w:t>所有路径通过平台path API处理，业务数据库优先保存项目相对路径；禁止手工拼接反斜杠或file://字符串。</w:t>
      </w:r>
    </w:p>
    <w:p>
      <w:pPr>
        <w:pStyle w:val="ListBullet"/>
      </w:pPr>
      <w:r>
        <w:t>Windows长路径、macOS应用签名/公证、Linux XDG目录和文件权限分别进入CI测试矩阵。</w:t>
      </w:r>
    </w:p>
    <w:p>
      <w:pPr>
        <w:pStyle w:val="ListBullet"/>
      </w:pPr>
      <w:r>
        <w:t>Electron原生模块按目标平台和架构重建；至少覆盖Windows x64、macOS arm64/x64，并明确Linux支持级别。</w:t>
      </w:r>
    </w:p>
    <w:p>
      <w:pPr>
        <w:pStyle w:val="ListBullet"/>
      </w:pPr>
      <w:r>
        <w:t>正式分发前单独完成许可证评估：保留AGPL v3、切换MPL-2.0或采用双许可均需结合商业目标和依赖许可证复核；V6.5不擅自改变既有AGPL决策。</w:t>
      </w:r>
    </w:p>
    <w:p>
      <w:pPr>
        <w:pStyle w:val="Heading2"/>
      </w:pPr>
      <w:r>
        <w:t>22.16 新增设置、数据与IPC增量</w:t>
      </w:r>
    </w:p>
    <w:tbl>
      <w:tblPr>
        <w:tblStyle w:val="TableGrid"/>
        <w:tblW w:type="auto" w:w="0"/>
        <w:jc w:val="center"/>
        <w:tblLook w:firstColumn="1" w:firstRow="1" w:lastColumn="0" w:lastRow="0" w:noHBand="0" w:noVBand="1" w:val="04A0"/>
      </w:tblPr>
      <w:tblGrid>
        <w:gridCol w:w="4819"/>
        <w:gridCol w:w="4819"/>
      </w:tblGrid>
      <w:tr>
        <w:tc>
          <w:tcPr>
            <w:tcW w:type="dxa" w:w="2448"/>
            <w:vAlign w:val="center"/>
            <w:tcMar>
              <w:top w:w="80" w:type="dxa"/>
              <w:start w:w="100" w:type="dxa"/>
              <w:bottom w:w="80" w:type="dxa"/>
              <w:end w:w="100" w:type="dxa"/>
            </w:tcMar>
            <w:shd w:fill="DCE5EE"/>
          </w:tcPr>
          <w:p>
            <w:pPr>
              <w:spacing w:after="0" w:before="0"/>
            </w:pPr>
            <w:r>
              <w:rPr>
                <w:b/>
                <w:color w:val="233044"/>
                <w:sz w:val="18"/>
              </w:rPr>
              <w:t>类别</w:t>
            </w:r>
          </w:p>
        </w:tc>
        <w:tc>
          <w:tcPr>
            <w:tcW w:type="dxa" w:w="7776"/>
            <w:vAlign w:val="center"/>
            <w:tcMar>
              <w:top w:w="80" w:type="dxa"/>
              <w:start w:w="100" w:type="dxa"/>
              <w:bottom w:w="80" w:type="dxa"/>
              <w:end w:w="100" w:type="dxa"/>
            </w:tcMar>
            <w:shd w:fill="DCE5EE"/>
          </w:tcPr>
          <w:p>
            <w:pPr>
              <w:spacing w:after="0" w:before="0"/>
            </w:pPr>
            <w:r>
              <w:rPr>
                <w:b/>
                <w:color w:val="233044"/>
                <w:sz w:val="18"/>
              </w:rPr>
              <w:t>新增内容</w:t>
            </w:r>
          </w:p>
        </w:tc>
        <w:trPr>
          <w:tblHeader/>
          <w:cantSplit/>
        </w:trPr>
      </w:tr>
      <w:tr>
        <w:trPr>
          <w:cantSplit/>
        </w:trPr>
        <w:tc>
          <w:tcPr>
            <w:tcW w:type="dxa" w:w="2448"/>
            <w:vAlign w:val="center"/>
            <w:tcMar>
              <w:top w:w="80" w:type="dxa"/>
              <w:start w:w="100" w:type="dxa"/>
              <w:bottom w:w="80" w:type="dxa"/>
              <w:end w:w="100" w:type="dxa"/>
            </w:tcMar>
          </w:tcPr>
          <w:p>
            <w:pPr>
              <w:spacing w:after="0" w:before="0"/>
            </w:pPr>
            <w:r>
              <w:rPr>
                <w:sz w:val="18"/>
              </w:rPr>
              <w:t>应用显示设置</w:t>
            </w:r>
          </w:p>
        </w:tc>
        <w:tc>
          <w:tcPr>
            <w:tcW w:type="dxa" w:w="7776"/>
            <w:vAlign w:val="center"/>
            <w:tcMar>
              <w:top w:w="80" w:type="dxa"/>
              <w:start w:w="100" w:type="dxa"/>
              <w:bottom w:w="80" w:type="dxa"/>
              <w:end w:w="100" w:type="dxa"/>
            </w:tcMar>
          </w:tcPr>
          <w:p>
            <w:pPr>
              <w:spacing w:after="0" w:before="0"/>
            </w:pPr>
            <w:r>
              <w:rPr>
                <w:sz w:val="18"/>
              </w:rPr>
              <w:t>uiScale、contentWidthPreset、workspaceAlignment、density、reduceMotion、highContrast、panelWidths、lastDisplayState</w:t>
            </w:r>
          </w:p>
        </w:tc>
      </w:tr>
      <w:tr>
        <w:trPr>
          <w:cantSplit/>
        </w:trPr>
        <w:tc>
          <w:tcPr>
            <w:tcW w:type="dxa" w:w="2448"/>
            <w:vAlign w:val="center"/>
            <w:tcMar>
              <w:top w:w="80" w:type="dxa"/>
              <w:start w:w="100" w:type="dxa"/>
              <w:bottom w:w="80" w:type="dxa"/>
              <w:end w:w="100" w:type="dxa"/>
            </w:tcMar>
            <w:shd w:fill="F6F7F8"/>
          </w:tcPr>
          <w:p>
            <w:pPr>
              <w:spacing w:after="0" w:before="0"/>
            </w:pPr>
            <w:r>
              <w:rPr>
                <w:sz w:val="18"/>
              </w:rPr>
              <w:t>备份元数据</w:t>
            </w:r>
          </w:p>
        </w:tc>
        <w:tc>
          <w:tcPr>
            <w:tcW w:type="dxa" w:w="7776"/>
            <w:vAlign w:val="center"/>
            <w:tcMar>
              <w:top w:w="80" w:type="dxa"/>
              <w:start w:w="100" w:type="dxa"/>
              <w:bottom w:w="80" w:type="dxa"/>
              <w:end w:w="100" w:type="dxa"/>
            </w:tcMar>
            <w:shd w:fill="F6F7F8"/>
          </w:tcPr>
          <w:p>
            <w:pPr>
              <w:spacing w:after="0" w:before="0"/>
            </w:pPr>
            <w:r>
              <w:rPr>
                <w:sz w:val="18"/>
              </w:rPr>
              <w:t>backupTrack、verifiedAt、integrityResult、protectedFromRotation、sourceOperation</w:t>
            </w:r>
          </w:p>
        </w:tc>
      </w:tr>
      <w:tr>
        <w:trPr>
          <w:cantSplit/>
        </w:trPr>
        <w:tc>
          <w:tcPr>
            <w:tcW w:type="dxa" w:w="2448"/>
            <w:vAlign w:val="center"/>
            <w:tcMar>
              <w:top w:w="80" w:type="dxa"/>
              <w:start w:w="100" w:type="dxa"/>
              <w:bottom w:w="80" w:type="dxa"/>
              <w:end w:w="100" w:type="dxa"/>
            </w:tcMar>
          </w:tcPr>
          <w:p>
            <w:pPr>
              <w:spacing w:after="0" w:before="0"/>
            </w:pPr>
            <w:r>
              <w:rPr>
                <w:sz w:val="18"/>
              </w:rPr>
              <w:t>模型质量档案</w:t>
            </w:r>
          </w:p>
        </w:tc>
        <w:tc>
          <w:tcPr>
            <w:tcW w:type="dxa" w:w="7776"/>
            <w:vAlign w:val="center"/>
            <w:tcMar>
              <w:top w:w="80" w:type="dxa"/>
              <w:start w:w="100" w:type="dxa"/>
              <w:bottom w:w="80" w:type="dxa"/>
              <w:end w:w="100" w:type="dxa"/>
            </w:tcMar>
          </w:tcPr>
          <w:p>
            <w:pPr>
              <w:spacing w:after="0" w:before="0"/>
            </w:pPr>
            <w:r>
              <w:rPr>
                <w:sz w:val="18"/>
              </w:rPr>
              <w:t>providerId、modelId、taskType、verificationLevel、evalVersion、metricsJson、verifiedAt</w:t>
            </w:r>
          </w:p>
        </w:tc>
      </w:tr>
      <w:tr>
        <w:trPr>
          <w:cantSplit/>
        </w:trPr>
        <w:tc>
          <w:tcPr>
            <w:tcW w:type="dxa" w:w="2448"/>
            <w:vAlign w:val="center"/>
            <w:tcMar>
              <w:top w:w="80" w:type="dxa"/>
              <w:start w:w="100" w:type="dxa"/>
              <w:bottom w:w="80" w:type="dxa"/>
              <w:end w:w="100" w:type="dxa"/>
            </w:tcMar>
            <w:shd w:fill="F6F7F8"/>
          </w:tcPr>
          <w:p>
            <w:pPr>
              <w:spacing w:after="0" w:before="0"/>
            </w:pPr>
            <w:r>
              <w:rPr>
                <w:sz w:val="18"/>
              </w:rPr>
              <w:t>维护状态</w:t>
            </w:r>
          </w:p>
        </w:tc>
        <w:tc>
          <w:tcPr>
            <w:tcW w:type="dxa" w:w="7776"/>
            <w:vAlign w:val="center"/>
            <w:tcMar>
              <w:top w:w="80" w:type="dxa"/>
              <w:start w:w="100" w:type="dxa"/>
              <w:bottom w:w="80" w:type="dxa"/>
              <w:end w:w="100" w:type="dxa"/>
            </w:tcMar>
            <w:shd w:fill="F6F7F8"/>
          </w:tcPr>
          <w:p>
            <w:pPr>
              <w:spacing w:after="0" w:before="0"/>
            </w:pPr>
            <w:r>
              <w:rPr>
                <w:sz w:val="18"/>
              </w:rPr>
              <w:t>reclaimableBytes、lastQuickCheckAt、lastIntegrityCheckAt、lastOptimizeAt</w:t>
            </w:r>
          </w:p>
        </w:tc>
      </w:tr>
      <w:tr>
        <w:trPr>
          <w:cantSplit/>
        </w:trPr>
        <w:tc>
          <w:tcPr>
            <w:tcW w:type="dxa" w:w="2448"/>
            <w:vAlign w:val="center"/>
            <w:tcMar>
              <w:top w:w="80" w:type="dxa"/>
              <w:start w:w="100" w:type="dxa"/>
              <w:bottom w:w="80" w:type="dxa"/>
              <w:end w:w="100" w:type="dxa"/>
            </w:tcMar>
          </w:tcPr>
          <w:p>
            <w:pPr>
              <w:spacing w:after="0" w:before="0"/>
            </w:pPr>
            <w:r>
              <w:rPr>
                <w:sz w:val="18"/>
              </w:rPr>
              <w:t>流式IPC</w:t>
            </w:r>
          </w:p>
        </w:tc>
        <w:tc>
          <w:tcPr>
            <w:tcW w:type="dxa" w:w="7776"/>
            <w:vAlign w:val="center"/>
            <w:tcMar>
              <w:top w:w="80" w:type="dxa"/>
              <w:start w:w="100" w:type="dxa"/>
              <w:bottom w:w="80" w:type="dxa"/>
              <w:end w:w="100" w:type="dxa"/>
            </w:tcMar>
          </w:tcPr>
          <w:p>
            <w:pPr>
              <w:spacing w:after="0" w:before="0"/>
            </w:pPr>
            <w:r>
              <w:rPr>
                <w:sz w:val="18"/>
              </w:rPr>
              <w:t>ai.stream.started/stage/delta/usage/completed/cancelled/failed、ai.run.cancel、ai.partial.save</w:t>
            </w:r>
          </w:p>
        </w:tc>
      </w:tr>
      <w:tr>
        <w:trPr>
          <w:cantSplit/>
        </w:trPr>
        <w:tc>
          <w:tcPr>
            <w:tcW w:type="dxa" w:w="2448"/>
            <w:vAlign w:val="center"/>
            <w:tcMar>
              <w:top w:w="80" w:type="dxa"/>
              <w:start w:w="100" w:type="dxa"/>
              <w:bottom w:w="80" w:type="dxa"/>
              <w:end w:w="100" w:type="dxa"/>
            </w:tcMar>
            <w:shd w:fill="F6F7F8"/>
          </w:tcPr>
          <w:p>
            <w:pPr>
              <w:spacing w:after="0" w:before="0"/>
            </w:pPr>
            <w:r>
              <w:rPr>
                <w:sz w:val="18"/>
              </w:rPr>
              <w:t>维护IPC</w:t>
            </w:r>
          </w:p>
        </w:tc>
        <w:tc>
          <w:tcPr>
            <w:tcW w:type="dxa" w:w="7776"/>
            <w:vAlign w:val="center"/>
            <w:tcMar>
              <w:top w:w="80" w:type="dxa"/>
              <w:start w:w="100" w:type="dxa"/>
              <w:bottom w:w="80" w:type="dxa"/>
              <w:end w:w="100" w:type="dxa"/>
            </w:tcMar>
            <w:shd w:fill="F6F7F8"/>
          </w:tcPr>
          <w:p>
            <w:pPr>
              <w:spacing w:after="0" w:before="0"/>
            </w:pPr>
            <w:r>
              <w:rPr>
                <w:sz w:val="18"/>
              </w:rPr>
              <w:t>project.check.quick、project.check.full、project.backup.create、project.optimize、window.displayState.save</w:t>
            </w:r>
          </w:p>
        </w:tc>
      </w:tr>
    </w:tbl>
    <w:p>
      <w:pPr>
        <w:pStyle w:val="Heading2"/>
      </w:pPr>
      <w:r>
        <w:t>22.17 P0验收用例</w:t>
      </w:r>
    </w:p>
    <w:tbl>
      <w:tblPr>
        <w:tblStyle w:val="TableGrid"/>
        <w:tblW w:type="auto" w:w="0"/>
        <w:jc w:val="center"/>
        <w:tblLook w:firstColumn="1" w:firstRow="1" w:lastColumn="0" w:lastRow="0" w:noHBand="0" w:noVBand="1" w:val="04A0"/>
      </w:tblPr>
      <w:tblGrid>
        <w:gridCol w:w="4819"/>
        <w:gridCol w:w="4819"/>
      </w:tblGrid>
      <w:tr>
        <w:tc>
          <w:tcPr>
            <w:tcW w:type="dxa" w:w="1728"/>
            <w:vAlign w:val="center"/>
            <w:tcMar>
              <w:top w:w="80" w:type="dxa"/>
              <w:start w:w="100" w:type="dxa"/>
              <w:bottom w:w="80" w:type="dxa"/>
              <w:end w:w="100" w:type="dxa"/>
            </w:tcMar>
            <w:shd w:fill="DCE5EE"/>
          </w:tcPr>
          <w:p>
            <w:pPr>
              <w:spacing w:after="0" w:before="0"/>
            </w:pPr>
            <w:r>
              <w:rPr>
                <w:b/>
                <w:color w:val="233044"/>
                <w:sz w:val="18"/>
              </w:rPr>
              <w:t>编号</w:t>
            </w:r>
          </w:p>
        </w:tc>
        <w:tc>
          <w:tcPr>
            <w:tcW w:type="dxa" w:w="8496"/>
            <w:vAlign w:val="center"/>
            <w:tcMar>
              <w:top w:w="80" w:type="dxa"/>
              <w:start w:w="100" w:type="dxa"/>
              <w:bottom w:w="80" w:type="dxa"/>
              <w:end w:w="100" w:type="dxa"/>
            </w:tcMar>
            <w:shd w:fill="DCE5EE"/>
          </w:tcPr>
          <w:p>
            <w:pPr>
              <w:spacing w:after="0" w:before="0"/>
            </w:pPr>
            <w:r>
              <w:rPr>
                <w:b/>
                <w:color w:val="233044"/>
                <w:sz w:val="18"/>
              </w:rPr>
              <w:t>验收要求</w:t>
            </w:r>
          </w:p>
        </w:tc>
        <w:trPr>
          <w:tblHeader/>
          <w:cantSplit/>
        </w:trPr>
      </w:tr>
      <w:tr>
        <w:trPr>
          <w:cantSplit/>
        </w:trPr>
        <w:tc>
          <w:tcPr>
            <w:tcW w:type="dxa" w:w="1728"/>
            <w:vAlign w:val="center"/>
            <w:tcMar>
              <w:top w:w="80" w:type="dxa"/>
              <w:start w:w="100" w:type="dxa"/>
              <w:bottom w:w="80" w:type="dxa"/>
              <w:end w:w="100" w:type="dxa"/>
            </w:tcMar>
          </w:tcPr>
          <w:p>
            <w:pPr>
              <w:spacing w:after="0" w:before="0"/>
            </w:pPr>
            <w:r>
              <w:rPr>
                <w:sz w:val="18"/>
              </w:rPr>
              <w:t>SEC-01</w:t>
            </w:r>
          </w:p>
        </w:tc>
        <w:tc>
          <w:tcPr>
            <w:tcW w:type="dxa" w:w="8496"/>
            <w:vAlign w:val="center"/>
            <w:tcMar>
              <w:top w:w="80" w:type="dxa"/>
              <w:start w:w="100" w:type="dxa"/>
              <w:bottom w:w="80" w:type="dxa"/>
              <w:end w:w="100" w:type="dxa"/>
            </w:tcMar>
          </w:tcPr>
          <w:p>
            <w:pPr>
              <w:spacing w:after="0" w:before="0"/>
            </w:pPr>
            <w:r>
              <w:rPr>
                <w:sz w:val="18"/>
              </w:rPr>
              <w:t>Renderer无法访问Node、SQLite、文件系统和凭据；preload只暴露白名单API。</w:t>
            </w:r>
          </w:p>
        </w:tc>
      </w:tr>
      <w:tr>
        <w:trPr>
          <w:cantSplit/>
        </w:trPr>
        <w:tc>
          <w:tcPr>
            <w:tcW w:type="dxa" w:w="1728"/>
            <w:vAlign w:val="center"/>
            <w:tcMar>
              <w:top w:w="80" w:type="dxa"/>
              <w:start w:w="100" w:type="dxa"/>
              <w:bottom w:w="80" w:type="dxa"/>
              <w:end w:w="100" w:type="dxa"/>
            </w:tcMar>
            <w:shd w:fill="F6F7F8"/>
          </w:tcPr>
          <w:p>
            <w:pPr>
              <w:spacing w:after="0" w:before="0"/>
            </w:pPr>
            <w:r>
              <w:rPr>
                <w:sz w:val="18"/>
              </w:rPr>
              <w:t>SEC-02</w:t>
            </w:r>
          </w:p>
        </w:tc>
        <w:tc>
          <w:tcPr>
            <w:tcW w:type="dxa" w:w="8496"/>
            <w:vAlign w:val="center"/>
            <w:tcMar>
              <w:top w:w="80" w:type="dxa"/>
              <w:start w:w="100" w:type="dxa"/>
              <w:bottom w:w="80" w:type="dxa"/>
              <w:end w:w="100" w:type="dxa"/>
            </w:tcMar>
            <w:shd w:fill="F6F7F8"/>
          </w:tcPr>
          <w:p>
            <w:pPr>
              <w:spacing w:after="0" w:before="0"/>
            </w:pPr>
            <w:r>
              <w:rPr>
                <w:sz w:val="18"/>
              </w:rPr>
              <w:t>DOCM、宏、OLE、ZIP路径穿越和超限压缩包被拒绝，不产生半成品项目。</w:t>
            </w:r>
          </w:p>
        </w:tc>
      </w:tr>
      <w:tr>
        <w:trPr>
          <w:cantSplit/>
        </w:trPr>
        <w:tc>
          <w:tcPr>
            <w:tcW w:type="dxa" w:w="1728"/>
            <w:vAlign w:val="center"/>
            <w:tcMar>
              <w:top w:w="80" w:type="dxa"/>
              <w:start w:w="100" w:type="dxa"/>
              <w:bottom w:w="80" w:type="dxa"/>
              <w:end w:w="100" w:type="dxa"/>
            </w:tcMar>
          </w:tcPr>
          <w:p>
            <w:pPr>
              <w:spacing w:after="0" w:before="0"/>
            </w:pPr>
            <w:r>
              <w:rPr>
                <w:sz w:val="18"/>
              </w:rPr>
              <w:t>DB-01</w:t>
            </w:r>
          </w:p>
        </w:tc>
        <w:tc>
          <w:tcPr>
            <w:tcW w:type="dxa" w:w="8496"/>
            <w:vAlign w:val="center"/>
            <w:tcMar>
              <w:top w:w="80" w:type="dxa"/>
              <w:start w:w="100" w:type="dxa"/>
              <w:bottom w:w="80" w:type="dxa"/>
              <w:end w:w="100" w:type="dxa"/>
            </w:tcMar>
          </w:tcPr>
          <w:p>
            <w:pPr>
              <w:spacing w:after="0" w:before="0"/>
            </w:pPr>
            <w:r>
              <w:rPr>
                <w:sz w:val="18"/>
              </w:rPr>
              <w:t>AI流式生成与800ms自动保存并发执行100次，无SQLITE_BUSY泄漏、无丢写、无跨Revision覆盖。</w:t>
            </w:r>
          </w:p>
        </w:tc>
      </w:tr>
      <w:tr>
        <w:trPr>
          <w:cantSplit/>
        </w:trPr>
        <w:tc>
          <w:tcPr>
            <w:tcW w:type="dxa" w:w="1728"/>
            <w:vAlign w:val="center"/>
            <w:tcMar>
              <w:top w:w="80" w:type="dxa"/>
              <w:start w:w="100" w:type="dxa"/>
              <w:bottom w:w="80" w:type="dxa"/>
              <w:end w:w="100" w:type="dxa"/>
            </w:tcMar>
            <w:shd w:fill="F6F7F8"/>
          </w:tcPr>
          <w:p>
            <w:pPr>
              <w:spacing w:after="0" w:before="0"/>
            </w:pPr>
            <w:r>
              <w:rPr>
                <w:sz w:val="18"/>
              </w:rPr>
              <w:t>DB-02</w:t>
            </w:r>
          </w:p>
        </w:tc>
        <w:tc>
          <w:tcPr>
            <w:tcW w:type="dxa" w:w="8496"/>
            <w:vAlign w:val="center"/>
            <w:tcMar>
              <w:top w:w="80" w:type="dxa"/>
              <w:start w:w="100" w:type="dxa"/>
              <w:bottom w:w="80" w:type="dxa"/>
              <w:end w:w="100" w:type="dxa"/>
            </w:tcMar>
            <w:shd w:fill="F6F7F8"/>
          </w:tcPr>
          <w:p>
            <w:pPr>
              <w:spacing w:after="0" w:before="0"/>
            </w:pPr>
            <w:r>
              <w:rPr>
                <w:sz w:val="18"/>
              </w:rPr>
              <w:t>异常退出后WAL恢复正常；quick_check失败时停止写入并进入恢复流程。</w:t>
            </w:r>
          </w:p>
        </w:tc>
      </w:tr>
      <w:tr>
        <w:trPr>
          <w:cantSplit/>
        </w:trPr>
        <w:tc>
          <w:tcPr>
            <w:tcW w:type="dxa" w:w="1728"/>
            <w:vAlign w:val="center"/>
            <w:tcMar>
              <w:top w:w="80" w:type="dxa"/>
              <w:start w:w="100" w:type="dxa"/>
              <w:bottom w:w="80" w:type="dxa"/>
              <w:end w:w="100" w:type="dxa"/>
            </w:tcMar>
          </w:tcPr>
          <w:p>
            <w:pPr>
              <w:spacing w:after="0" w:before="0"/>
            </w:pPr>
            <w:r>
              <w:rPr>
                <w:sz w:val="18"/>
              </w:rPr>
              <w:t>IPC-01</w:t>
            </w:r>
          </w:p>
        </w:tc>
        <w:tc>
          <w:tcPr>
            <w:tcW w:type="dxa" w:w="8496"/>
            <w:vAlign w:val="center"/>
            <w:tcMar>
              <w:top w:w="80" w:type="dxa"/>
              <w:start w:w="100" w:type="dxa"/>
              <w:bottom w:w="80" w:type="dxa"/>
              <w:end w:w="100" w:type="dxa"/>
            </w:tcMar>
          </w:tcPr>
          <w:p>
            <w:pPr>
              <w:spacing w:after="0" w:before="0"/>
            </w:pPr>
            <w:r>
              <w:rPr>
                <w:sz w:val="18"/>
              </w:rPr>
              <w:t>10万字符流按批次传输，sequence连续；切章、取消和重连不串稿。</w:t>
            </w:r>
          </w:p>
        </w:tc>
      </w:tr>
      <w:tr>
        <w:trPr>
          <w:cantSplit/>
        </w:trPr>
        <w:tc>
          <w:tcPr>
            <w:tcW w:type="dxa" w:w="1728"/>
            <w:vAlign w:val="center"/>
            <w:tcMar>
              <w:top w:w="80" w:type="dxa"/>
              <w:start w:w="100" w:type="dxa"/>
              <w:bottom w:w="80" w:type="dxa"/>
              <w:end w:w="100" w:type="dxa"/>
            </w:tcMar>
            <w:shd w:fill="F6F7F8"/>
          </w:tcPr>
          <w:p>
            <w:pPr>
              <w:spacing w:after="0" w:before="0"/>
            </w:pPr>
            <w:r>
              <w:rPr>
                <w:sz w:val="18"/>
              </w:rPr>
              <w:t>IPC-02</w:t>
            </w:r>
          </w:p>
        </w:tc>
        <w:tc>
          <w:tcPr>
            <w:tcW w:type="dxa" w:w="8496"/>
            <w:vAlign w:val="center"/>
            <w:tcMar>
              <w:top w:w="80" w:type="dxa"/>
              <w:start w:w="100" w:type="dxa"/>
              <w:bottom w:w="80" w:type="dxa"/>
              <w:end w:w="100" w:type="dxa"/>
            </w:tcMar>
            <w:shd w:fill="F6F7F8"/>
          </w:tcPr>
          <w:p>
            <w:pPr>
              <w:spacing w:after="0" w:before="0"/>
            </w:pPr>
            <w:r>
              <w:rPr>
                <w:sz w:val="18"/>
              </w:rPr>
              <w:t>取消请求500ms内反馈；部分结果只能保存为partial Candidate。</w:t>
            </w:r>
          </w:p>
        </w:tc>
      </w:tr>
      <w:tr>
        <w:trPr>
          <w:cantSplit/>
        </w:trPr>
        <w:tc>
          <w:tcPr>
            <w:tcW w:type="dxa" w:w="1728"/>
            <w:vAlign w:val="center"/>
            <w:tcMar>
              <w:top w:w="80" w:type="dxa"/>
              <w:start w:w="100" w:type="dxa"/>
              <w:bottom w:w="80" w:type="dxa"/>
              <w:end w:w="100" w:type="dxa"/>
            </w:tcMar>
          </w:tcPr>
          <w:p>
            <w:pPr>
              <w:spacing w:after="0" w:before="0"/>
            </w:pPr>
            <w:r>
              <w:rPr>
                <w:sz w:val="18"/>
              </w:rPr>
              <w:t>BAK-01</w:t>
            </w:r>
          </w:p>
        </w:tc>
        <w:tc>
          <w:tcPr>
            <w:tcW w:type="dxa" w:w="8496"/>
            <w:vAlign w:val="center"/>
            <w:tcMar>
              <w:top w:w="80" w:type="dxa"/>
              <w:start w:w="100" w:type="dxa"/>
              <w:bottom w:w="80" w:type="dxa"/>
              <w:end w:w="100" w:type="dxa"/>
            </w:tcMar>
          </w:tcPr>
          <w:p>
            <w:pPr>
              <w:spacing w:after="0" w:before="0"/>
            </w:pPr>
            <w:r>
              <w:rPr>
                <w:sz w:val="18"/>
              </w:rPr>
              <w:t>日常备份轮换不删除重大恢复点和最后一份已验证备份。</w:t>
            </w:r>
          </w:p>
        </w:tc>
      </w:tr>
      <w:tr>
        <w:trPr>
          <w:cantSplit/>
        </w:trPr>
        <w:tc>
          <w:tcPr>
            <w:tcW w:type="dxa" w:w="1728"/>
            <w:vAlign w:val="center"/>
            <w:tcMar>
              <w:top w:w="80" w:type="dxa"/>
              <w:start w:w="100" w:type="dxa"/>
              <w:bottom w:w="80" w:type="dxa"/>
              <w:end w:w="100" w:type="dxa"/>
            </w:tcMar>
            <w:shd w:fill="F6F7F8"/>
          </w:tcPr>
          <w:p>
            <w:pPr>
              <w:spacing w:after="0" w:before="0"/>
            </w:pPr>
            <w:r>
              <w:rPr>
                <w:sz w:val="18"/>
              </w:rPr>
              <w:t>BAK-02</w:t>
            </w:r>
          </w:p>
        </w:tc>
        <w:tc>
          <w:tcPr>
            <w:tcW w:type="dxa" w:w="8496"/>
            <w:vAlign w:val="center"/>
            <w:tcMar>
              <w:top w:w="80" w:type="dxa"/>
              <w:start w:w="100" w:type="dxa"/>
              <w:bottom w:w="80" w:type="dxa"/>
              <w:end w:w="100" w:type="dxa"/>
            </w:tcMar>
            <w:shd w:fill="F6F7F8"/>
          </w:tcPr>
          <w:p>
            <w:pPr>
              <w:spacing w:after="0" w:before="0"/>
            </w:pPr>
            <w:r>
              <w:rPr>
                <w:sz w:val="18"/>
              </w:rPr>
              <w:t>迁移前恢复点可恢复到新目录，原项目不被覆盖。</w:t>
            </w:r>
          </w:p>
        </w:tc>
      </w:tr>
      <w:tr>
        <w:trPr>
          <w:cantSplit/>
        </w:trPr>
        <w:tc>
          <w:tcPr>
            <w:tcW w:type="dxa" w:w="1728"/>
            <w:vAlign w:val="center"/>
            <w:tcMar>
              <w:top w:w="80" w:type="dxa"/>
              <w:start w:w="100" w:type="dxa"/>
              <w:bottom w:w="80" w:type="dxa"/>
              <w:end w:w="100" w:type="dxa"/>
            </w:tcMar>
          </w:tcPr>
          <w:p>
            <w:pPr>
              <w:spacing w:after="0" w:before="0"/>
            </w:pPr>
            <w:r>
              <w:rPr>
                <w:sz w:val="18"/>
              </w:rPr>
              <w:t>AI-01</w:t>
            </w:r>
          </w:p>
        </w:tc>
        <w:tc>
          <w:tcPr>
            <w:tcW w:type="dxa" w:w="8496"/>
            <w:vAlign w:val="center"/>
            <w:tcMar>
              <w:top w:w="80" w:type="dxa"/>
              <w:start w:w="100" w:type="dxa"/>
              <w:bottom w:w="80" w:type="dxa"/>
              <w:end w:w="100" w:type="dxa"/>
            </w:tcMar>
          </w:tcPr>
          <w:p>
            <w:pPr>
              <w:spacing w:after="0" w:before="0"/>
            </w:pPr>
            <w:r>
              <w:rPr>
                <w:sz w:val="18"/>
              </w:rPr>
              <w:t>代码硬保证五项全部为0违规；任一失败阻断发布。</w:t>
            </w:r>
          </w:p>
        </w:tc>
      </w:tr>
      <w:tr>
        <w:trPr>
          <w:cantSplit/>
        </w:trPr>
        <w:tc>
          <w:tcPr>
            <w:tcW w:type="dxa" w:w="1728"/>
            <w:vAlign w:val="center"/>
            <w:tcMar>
              <w:top w:w="80" w:type="dxa"/>
              <w:start w:w="100" w:type="dxa"/>
              <w:bottom w:w="80" w:type="dxa"/>
              <w:end w:w="100" w:type="dxa"/>
            </w:tcMar>
            <w:shd w:fill="F6F7F8"/>
          </w:tcPr>
          <w:p>
            <w:pPr>
              <w:spacing w:after="0" w:before="0"/>
            </w:pPr>
            <w:r>
              <w:rPr>
                <w:sz w:val="18"/>
              </w:rPr>
              <w:t>AI-02</w:t>
            </w:r>
          </w:p>
        </w:tc>
        <w:tc>
          <w:tcPr>
            <w:tcW w:type="dxa" w:w="8496"/>
            <w:vAlign w:val="center"/>
            <w:tcMar>
              <w:top w:w="80" w:type="dxa"/>
              <w:start w:w="100" w:type="dxa"/>
              <w:bottom w:w="80" w:type="dxa"/>
              <w:end w:w="100" w:type="dxa"/>
            </w:tcMar>
            <w:shd w:fill="F6F7F8"/>
          </w:tcPr>
          <w:p>
            <w:pPr>
              <w:spacing w:after="0" w:before="0"/>
            </w:pPr>
            <w:r>
              <w:rPr>
                <w:sz w:val="18"/>
              </w:rPr>
              <w:t>未验证模型被标记并按任务降级，不伪装成已通过质量基线。</w:t>
            </w:r>
          </w:p>
        </w:tc>
      </w:tr>
      <w:tr>
        <w:trPr>
          <w:cantSplit/>
        </w:trPr>
        <w:tc>
          <w:tcPr>
            <w:tcW w:type="dxa" w:w="1728"/>
            <w:vAlign w:val="center"/>
            <w:tcMar>
              <w:top w:w="80" w:type="dxa"/>
              <w:start w:w="100" w:type="dxa"/>
              <w:bottom w:w="80" w:type="dxa"/>
              <w:end w:w="100" w:type="dxa"/>
            </w:tcMar>
          </w:tcPr>
          <w:p>
            <w:pPr>
              <w:spacing w:after="0" w:before="0"/>
            </w:pPr>
            <w:r>
              <w:rPr>
                <w:sz w:val="18"/>
              </w:rPr>
              <w:t>DISP-01</w:t>
            </w:r>
          </w:p>
        </w:tc>
        <w:tc>
          <w:tcPr>
            <w:tcW w:type="dxa" w:w="8496"/>
            <w:vAlign w:val="center"/>
            <w:tcMar>
              <w:top w:w="80" w:type="dxa"/>
              <w:start w:w="100" w:type="dxa"/>
              <w:bottom w:w="80" w:type="dxa"/>
              <w:end w:w="100" w:type="dxa"/>
            </w:tcMar>
          </w:tcPr>
          <w:p>
            <w:pPr>
              <w:spacing w:after="0" w:before="0"/>
            </w:pPr>
            <w:r>
              <w:rPr>
                <w:sz w:val="18"/>
              </w:rPr>
              <w:t>2560×1440在100%/125%/150%缩放下无模糊、截断、横向页面滚动。</w:t>
            </w:r>
          </w:p>
        </w:tc>
      </w:tr>
      <w:tr>
        <w:trPr>
          <w:cantSplit/>
        </w:trPr>
        <w:tc>
          <w:tcPr>
            <w:tcW w:type="dxa" w:w="1728"/>
            <w:vAlign w:val="center"/>
            <w:tcMar>
              <w:top w:w="80" w:type="dxa"/>
              <w:start w:w="100" w:type="dxa"/>
              <w:bottom w:w="80" w:type="dxa"/>
              <w:end w:w="100" w:type="dxa"/>
            </w:tcMar>
            <w:shd w:fill="F6F7F8"/>
          </w:tcPr>
          <w:p>
            <w:pPr>
              <w:spacing w:after="0" w:before="0"/>
            </w:pPr>
            <w:r>
              <w:rPr>
                <w:sz w:val="18"/>
              </w:rPr>
              <w:t>DISP-02</w:t>
            </w:r>
          </w:p>
        </w:tc>
        <w:tc>
          <w:tcPr>
            <w:tcW w:type="dxa" w:w="8496"/>
            <w:vAlign w:val="center"/>
            <w:tcMar>
              <w:top w:w="80" w:type="dxa"/>
              <w:start w:w="100" w:type="dxa"/>
              <w:bottom w:w="80" w:type="dxa"/>
              <w:end w:w="100" w:type="dxa"/>
            </w:tcMar>
            <w:shd w:fill="F6F7F8"/>
          </w:tcPr>
          <w:p>
            <w:pPr>
              <w:spacing w:after="0" w:before="0"/>
            </w:pPr>
            <w:r>
              <w:rPr>
                <w:sz w:val="18"/>
              </w:rPr>
              <w:t>3440×1440曲面/超宽屏正文保持680—860px版心，候选双栏可用，危险操作不贴远端边缘。</w:t>
            </w:r>
          </w:p>
        </w:tc>
      </w:tr>
      <w:tr>
        <w:trPr>
          <w:cantSplit/>
        </w:trPr>
        <w:tc>
          <w:tcPr>
            <w:tcW w:type="dxa" w:w="1728"/>
            <w:vAlign w:val="center"/>
            <w:tcMar>
              <w:top w:w="80" w:type="dxa"/>
              <w:start w:w="100" w:type="dxa"/>
              <w:bottom w:w="80" w:type="dxa"/>
              <w:end w:w="100" w:type="dxa"/>
            </w:tcMar>
          </w:tcPr>
          <w:p>
            <w:pPr>
              <w:spacing w:after="0" w:before="0"/>
            </w:pPr>
            <w:r>
              <w:rPr>
                <w:sz w:val="18"/>
              </w:rPr>
              <w:t>DISP-03</w:t>
            </w:r>
          </w:p>
        </w:tc>
        <w:tc>
          <w:tcPr>
            <w:tcW w:type="dxa" w:w="8496"/>
            <w:vAlign w:val="center"/>
            <w:tcMar>
              <w:top w:w="80" w:type="dxa"/>
              <w:start w:w="100" w:type="dxa"/>
              <w:bottom w:w="80" w:type="dxa"/>
              <w:end w:w="100" w:type="dxa"/>
            </w:tcMar>
          </w:tcPr>
          <w:p>
            <w:pPr>
              <w:spacing w:after="0" w:before="0"/>
            </w:pPr>
            <w:r>
              <w:rPr>
                <w:sz w:val="18"/>
              </w:rPr>
              <w:t>1080p与2K混合DPI跨屏移动后窗口、弹层和鼠标命中位置正确。</w:t>
            </w:r>
          </w:p>
        </w:tc>
      </w:tr>
      <w:tr>
        <w:trPr>
          <w:cantSplit/>
        </w:trPr>
        <w:tc>
          <w:tcPr>
            <w:tcW w:type="dxa" w:w="1728"/>
            <w:vAlign w:val="center"/>
            <w:tcMar>
              <w:top w:w="80" w:type="dxa"/>
              <w:start w:w="100" w:type="dxa"/>
              <w:bottom w:w="80" w:type="dxa"/>
              <w:end w:w="100" w:type="dxa"/>
            </w:tcMar>
            <w:shd w:fill="F6F7F8"/>
          </w:tcPr>
          <w:p>
            <w:pPr>
              <w:spacing w:after="0" w:before="0"/>
            </w:pPr>
            <w:r>
              <w:rPr>
                <w:sz w:val="18"/>
              </w:rPr>
              <w:t>PERF-01</w:t>
            </w:r>
          </w:p>
        </w:tc>
        <w:tc>
          <w:tcPr>
            <w:tcW w:type="dxa" w:w="8496"/>
            <w:vAlign w:val="center"/>
            <w:tcMar>
              <w:top w:w="80" w:type="dxa"/>
              <w:start w:w="100" w:type="dxa"/>
              <w:bottom w:w="80" w:type="dxa"/>
              <w:end w:w="100" w:type="dxa"/>
            </w:tcMar>
            <w:shd w:fill="F6F7F8"/>
          </w:tcPr>
          <w:p>
            <w:pPr>
              <w:spacing w:after="0" w:before="0"/>
            </w:pPr>
            <w:r>
              <w:rPr>
                <w:sz w:val="18"/>
              </w:rPr>
              <w:t>2K下键入P95≤50ms、自动保存P95≤150ms、正文滚动持续不低于50fps。</w:t>
            </w:r>
          </w:p>
        </w:tc>
      </w:tr>
      <w:tr>
        <w:trPr>
          <w:cantSplit/>
        </w:trPr>
        <w:tc>
          <w:tcPr>
            <w:tcW w:type="dxa" w:w="1728"/>
            <w:vAlign w:val="center"/>
            <w:tcMar>
              <w:top w:w="80" w:type="dxa"/>
              <w:start w:w="100" w:type="dxa"/>
              <w:bottom w:w="80" w:type="dxa"/>
              <w:end w:w="100" w:type="dxa"/>
            </w:tcMar>
          </w:tcPr>
          <w:p>
            <w:pPr>
              <w:spacing w:after="0" w:before="0"/>
            </w:pPr>
            <w:r>
              <w:rPr>
                <w:sz w:val="18"/>
              </w:rPr>
              <w:t>PERF-02</w:t>
            </w:r>
          </w:p>
        </w:tc>
        <w:tc>
          <w:tcPr>
            <w:tcW w:type="dxa" w:w="8496"/>
            <w:vAlign w:val="center"/>
            <w:tcMar>
              <w:top w:w="80" w:type="dxa"/>
              <w:start w:w="100" w:type="dxa"/>
              <w:bottom w:w="80" w:type="dxa"/>
              <w:end w:w="100" w:type="dxa"/>
            </w:tcMar>
          </w:tcPr>
          <w:p>
            <w:pPr>
              <w:spacing w:after="0" w:before="0"/>
            </w:pPr>
            <w:r>
              <w:rPr>
                <w:sz w:val="18"/>
              </w:rPr>
              <w:t>5000字中文候选Diff首屏≤500ms、完整≤1.2s，且可取消。</w:t>
            </w:r>
          </w:p>
        </w:tc>
      </w:tr>
    </w:tbl>
    <w:p>
      <w:pPr>
        <w:pStyle w:val="Heading2"/>
      </w:pPr>
      <w:r>
        <w:t>22.18 实施顺序与最终关闭条件</w:t>
      </w:r>
    </w:p>
    <w:p>
      <w:pPr>
        <w:ind w:left="240"/>
      </w:pPr>
      <w:r>
        <w:t>1. M0先完成Electron安全Spike、Core写队列、WAL配置、流式MessagePort原型和2K/混合DPI布局原型。</w:t>
      </w:r>
    </w:p>
    <w:p>
      <w:pPr>
        <w:ind w:left="240"/>
      </w:pPr>
      <w:r>
        <w:t>2. M0.5完成已验证模型样例、中文长段落Diff夹具和13英寸/2K/21:9可点击原型。</w:t>
      </w:r>
    </w:p>
    <w:p>
      <w:pPr>
        <w:ind w:left="240"/>
      </w:pPr>
      <w:r>
        <w:t>3. M1—M3只实现V1.0核心闭环；M4A—M4E以V1.5 Epic存在，不得进入V1.0关键路径。</w:t>
      </w:r>
    </w:p>
    <w:p>
      <w:pPr>
        <w:ind w:left="240"/>
      </w:pPr>
      <w:r>
        <w:t>4. V1.0发布前必须通过本章SEC、DB、IPC、BAK、AI、DISP和PERF验收。</w:t>
      </w:r>
    </w:p>
    <w:p>
      <w:pPr>
        <w:ind w:left="240"/>
      </w:pPr>
      <w:r>
        <w:t>5. V1.5立项前必须有真实长篇项目数据证明自动分层记忆、定时日记或语义召回的必要性。</w:t>
      </w:r>
    </w:p>
    <w:p>
      <w:pPr>
        <w:pStyle w:val="IntenseQuote"/>
      </w:pPr>
      <w:r>
        <w:t>V6.5冻结后的产品优先级：先保证正文安全、编辑顺畅、AI可撤销、Core不阻塞、2K/曲面屏长期舒适；再扩展超长篇自动化。</w:t>
      </w:r>
    </w:p>
    <w:p>
      <w:pPr>
        <w:pStyle w:val="Heading1"/>
        <w:keepNext/>
        <w:pageBreakBefore/>
      </w:pPr>
      <w:r>
        <w:t>附录A. 核心数据表</w:t>
      </w:r>
    </w:p>
    <w:tbl>
      <w:tblPr>
        <w:tblW w:type="auto" w:w="0"/>
        <w:tblLayout w:type="autofit"/>
        <w:tblLook w:firstColumn="1" w:firstRow="1" w:lastColumn="0" w:lastRow="0" w:noHBand="0" w:noVBand="1" w:val="04A0"/>
        <w:jc w:val="center"/>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213"/>
        <w:gridCol w:w="3213"/>
        <w:gridCol w:w="3213"/>
      </w:tblGrid>
      <w:tr>
        <w:trPr>
          <w:tblHeader w:val="true"/>
          <w:cantSplit/>
          <w:tblHeader w:val="true"/>
          <w:tblHeader w:val="true"/>
          <w:tblHeader w:val="true"/>
          <w:tblHeader w:val="true"/>
        </w:trPr>
        <w:tc>
          <w:tcPr>
            <w:tcW w:type="dxa" w:w="2324"/>
            <w:shd w:fill="DCE6E2"/>
            <w:vAlign w:val="center"/>
            <w:tcMar>
              <w:top w:w="80" w:type="dxa"/>
              <w:start w:w="100" w:type="dxa"/>
              <w:bottom w:w="80" w:type="dxa"/>
              <w:end w:w="100" w:type="dxa"/>
            </w:tcMar>
          </w:tcPr>
          <w:p>
            <w:pPr>
              <w:spacing w:after="0" w:before="0"/>
              <w:jc w:val="center"/>
            </w:pPr>
            <w:r>
              <w:rPr>
                <w:rFonts w:ascii="Noto Sans CJK SC" w:hAnsi="Noto Sans CJK SC" w:eastAsia="Noto Sans CJK SC"/>
                <w:b/>
                <w:color w:val="1C2F2B"/>
                <w:sz w:val="17"/>
              </w:rPr>
              <w:t>表名</w:t>
            </w:r>
          </w:p>
        </w:tc>
        <w:tc>
          <w:tcPr>
            <w:tcW w:type="dxa" w:w="2891"/>
            <w:shd w:fill="DCE6E2"/>
            <w:vAlign w:val="center"/>
            <w:tcMar>
              <w:top w:w="80" w:type="dxa"/>
              <w:start w:w="100" w:type="dxa"/>
              <w:bottom w:w="80" w:type="dxa"/>
              <w:end w:w="100" w:type="dxa"/>
            </w:tcMar>
          </w:tcPr>
          <w:p>
            <w:pPr>
              <w:spacing w:after="0" w:before="0"/>
              <w:jc w:val="center"/>
            </w:pPr>
            <w:r>
              <w:rPr>
                <w:rFonts w:ascii="Noto Sans CJK SC" w:hAnsi="Noto Sans CJK SC" w:eastAsia="Noto Sans CJK SC"/>
                <w:b/>
                <w:color w:val="1C2F2B"/>
                <w:sz w:val="17"/>
              </w:rPr>
              <w:t>目的</w:t>
            </w:r>
          </w:p>
        </w:tc>
        <w:tc>
          <w:tcPr>
            <w:tcW w:type="dxa" w:w="4082"/>
            <w:shd w:fill="DCE6E2"/>
            <w:vAlign w:val="center"/>
            <w:tcMar>
              <w:top w:w="80" w:type="dxa"/>
              <w:start w:w="100" w:type="dxa"/>
              <w:bottom w:w="80" w:type="dxa"/>
              <w:end w:w="100" w:type="dxa"/>
            </w:tcMar>
          </w:tcPr>
          <w:p>
            <w:pPr>
              <w:spacing w:after="0" w:before="0"/>
              <w:jc w:val="center"/>
            </w:pPr>
            <w:r>
              <w:rPr>
                <w:rFonts w:ascii="Noto Sans CJK SC" w:hAnsi="Noto Sans CJK SC" w:eastAsia="Noto Sans CJK SC"/>
                <w:b/>
                <w:color w:val="1C2F2B"/>
                <w:sz w:val="17"/>
              </w:rPr>
              <w:t>关键字段/约束</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projects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作品配置</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id、name、brief、schema_version</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chapters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章节元数据</w:t>
            </w:r>
          </w:p>
        </w:tc>
        <w:tc>
          <w:tcPr>
            <w:tcW w:type="dxa" w:w="4082"/>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active_draft_id、final_version_id、published_version_id</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chapter_drafts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活动工作稿</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chapter_id UNIQUE、revision</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draft_blocks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可编辑文本块</w:t>
            </w:r>
          </w:p>
        </w:tc>
        <w:tc>
          <w:tcPr>
            <w:tcW w:type="dxa" w:w="4082"/>
            <w:vAlign w:val="center"/>
            <w:tcMar>
              <w:top w:w="80" w:type="dxa"/>
              <w:start w:w="100" w:type="dxa"/>
              <w:bottom w:w="80" w:type="dxa"/>
              <w:end w:w="100" w:type="dxa"/>
            </w:tcMar>
            <w:shd w:fill="F8FAFD"/>
          </w:tcPr>
          <w:p>
            <w:pPr>
              <w:spacing w:after="0" w:before="0"/>
            </w:pPr>
            <w:r>
              <w:rPr>
                <w:rFonts w:ascii="Noto Sans CJK SC" w:hAnsi="Noto Sans CJK SC" w:eastAsia="Noto Sans CJK SC"/>
                <w:b w:val="0"/>
                <w:color w:val="232323"/>
                <w:sz w:val="17"/>
              </w:rPr>
              <w:t>logical_block_id、scene_beat_id可空、order_key、locked、hash</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generation_runs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一次AI调用</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request_id UNIQUE、base_revision、status</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candidates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AI候选</w:t>
            </w:r>
          </w:p>
        </w:tc>
        <w:tc>
          <w:tcPr>
            <w:tcW w:type="dxa" w:w="4082"/>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run_id、base_revision、type、status、completeness</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chapter_versions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不可变版本</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source_draft_revision、status、created_at</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version_blocks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版本快照块</w:t>
            </w:r>
          </w:p>
        </w:tc>
        <w:tc>
          <w:tcPr>
            <w:tcW w:type="dxa" w:w="4082"/>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version_id、logical_block_id、text、hash</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canon_entities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人物与世界实体</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entity_type、name、aliases</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entity_states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动态状态</w:t>
            </w:r>
          </w:p>
        </w:tc>
        <w:tc>
          <w:tcPr>
            <w:tcW w:type="dxa" w:w="4082"/>
            <w:vAlign w:val="center"/>
            <w:tcMar>
              <w:top w:w="80" w:type="dxa"/>
              <w:start w:w="100" w:type="dxa"/>
              <w:bottom w:w="80" w:type="dxa"/>
              <w:end w:w="100" w:type="dxa"/>
            </w:tcMar>
            <w:shd w:fill="F8FAFD"/>
          </w:tcPr>
          <w:p>
            <w:pPr>
              <w:spacing w:after="0" w:before="0"/>
            </w:pPr>
            <w:r>
              <w:rPr>
                <w:rFonts w:ascii="Noto Sans CJK SC" w:hAnsi="Noto Sans CJK SC" w:eastAsia="Noto Sans CJK SC"/>
                <w:b w:val="0"/>
                <w:color w:val="232323"/>
                <w:sz w:val="17"/>
              </w:rPr>
              <w:t>entity_id、state_key、typed_value、valid_from/until、source_version_id、status</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timeline_events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时间事件</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start、end、precision、location_id</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knowledge_states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人物知情</w:t>
            </w:r>
          </w:p>
        </w:tc>
        <w:tc>
          <w:tcPr>
            <w:tcW w:type="dxa" w:w="4082"/>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information_id、character_id、belief_state</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foreshadowings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伏笔</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status、planted_chapter_id、recycle_window</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state_change_proposals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状态回写候选</w:t>
            </w:r>
          </w:p>
        </w:tc>
        <w:tc>
          <w:tcPr>
            <w:tcW w:type="dxa" w:w="4082"/>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evidence_anchor、confidence、resolution</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ending_snapshots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章节尾快照</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final_version_id、status、content_hash</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validation_issues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校验问题</w:t>
            </w:r>
          </w:p>
        </w:tc>
        <w:tc>
          <w:tcPr>
            <w:tcW w:type="dxa" w:w="4082"/>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type、severity、anchor、status</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revision_items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修订检查项</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category、chapter_id、checked</w:t>
            </w:r>
          </w:p>
        </w:tc>
      </w:tr>
      <w:tr>
        <w:trPr>
          <w:cantSplit/>
        </w:trPr>
        <w:tc>
          <w:tcPr>
            <w:tcW w:type="dxa" w:w="2324"/>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story_todos</w:t>
            </w:r>
          </w:p>
        </w:tc>
        <w:tc>
          <w:tcPr>
            <w:tcW w:type="dxa" w:w="2891"/>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简单待修事项</w:t>
            </w:r>
          </w:p>
        </w:tc>
        <w:tc>
          <w:tcPr>
            <w:tcW w:type="dxa" w:w="4082"/>
            <w:vAlign w:val="center"/>
            <w:tcMar>
              <w:top w:w="80" w:type="dxa"/>
              <w:start w:w="100" w:type="dxa"/>
              <w:bottom w:w="80" w:type="dxa"/>
              <w:end w:w="100" w:type="dxa"/>
            </w:tcMar>
            <w:shd w:fill="F8FAFD"/>
          </w:tcPr>
          <w:p>
            <w:pPr>
              <w:spacing w:after="0" w:line="264" w:lineRule="auto" w:before="0"/>
            </w:pPr>
            <w:r>
              <w:rPr>
                <w:rFonts w:ascii="Noto Sans CJK SC" w:hAnsi="Noto Sans CJK SC" w:eastAsia="Noto Sans CJK SC"/>
                <w:b w:val="0"/>
                <w:color w:val="232323"/>
                <w:sz w:val="17"/>
              </w:rPr>
              <w:t>category、target_id、done</w:t>
            </w:r>
          </w:p>
        </w:tc>
      </w:tr>
      <w:tr>
        <w:trPr>
          <w:cantSplit/>
        </w:trPr>
        <w:tc>
          <w:tcPr>
            <w:tcW w:type="dxa" w:w="2324"/>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research_notes</w:t>
            </w:r>
          </w:p>
        </w:tc>
        <w:tc>
          <w:tcPr>
            <w:tcW w:type="dxa" w:w="2891"/>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最小资料笔记</w:t>
            </w:r>
          </w:p>
        </w:tc>
        <w:tc>
          <w:tcPr>
            <w:tcW w:type="dxa" w:w="4082"/>
            <w:vAlign w:val="center"/>
            <w:tcMar>
              <w:top w:w="80" w:type="dxa"/>
              <w:start w:w="100" w:type="dxa"/>
              <w:bottom w:w="80" w:type="dxa"/>
              <w:end w:w="100" w:type="dxa"/>
            </w:tcMar>
          </w:tcPr>
          <w:p>
            <w:pPr>
              <w:spacing w:after="0" w:line="264" w:lineRule="auto" w:before="0"/>
            </w:pPr>
            <w:r>
              <w:rPr>
                <w:rFonts w:ascii="Noto Sans CJK SC" w:hAnsi="Noto Sans CJK SC" w:eastAsia="Noto Sans CJK SC"/>
                <w:b w:val="0"/>
                <w:color w:val="232323"/>
                <w:sz w:val="17"/>
              </w:rPr>
              <w:t>content、source_url、local_path、tags</w:t>
            </w:r>
          </w:p>
        </w:tc>
      </w:tr>
      <w:tr>
        <w:trPr>
          <w:cantSplit/>
        </w:trPr>
        <w:tc>
          <w:tcPr>
            <w:tcW w:type="dxa" w:w="2324"/>
            <w:vAlign w:val="center"/>
            <w:tcMar>
              <w:top w:w="80" w:type="dxa"/>
              <w:start w:w="100" w:type="dxa"/>
              <w:bottom w:w="80" w:type="dxa"/>
              <w:end w:w="100" w:type="dxa"/>
            </w:tcMar>
            <w:shd w:fill="F8FAFD"/>
          </w:tcPr>
          <w:p>
            <w:pPr>
              <w:spacing w:after="0" w:before="0"/>
            </w:pPr>
            <w:r>
              <w:rPr>
                <w:rFonts w:ascii="Noto Sans CJK SC" w:hAnsi="Noto Sans CJK SC" w:eastAsia="Noto Sans CJK SC"/>
                <w:b w:val="0"/>
                <w:color w:val="232323"/>
                <w:sz w:val="17"/>
              </w:rPr>
              <w:t>scene_beats</w:t>
            </w:r>
          </w:p>
        </w:tc>
        <w:tc>
          <w:tcPr>
            <w:tcW w:type="dxa" w:w="2891"/>
            <w:vAlign w:val="center"/>
            <w:tcMar>
              <w:top w:w="80" w:type="dxa"/>
              <w:start w:w="100" w:type="dxa"/>
              <w:bottom w:w="80" w:type="dxa"/>
              <w:end w:w="100" w:type="dxa"/>
            </w:tcMar>
            <w:shd w:fill="F8FAFD"/>
          </w:tcPr>
          <w:p>
            <w:pPr>
              <w:spacing w:after="0" w:before="0"/>
            </w:pPr>
            <w:r>
              <w:rPr>
                <w:rFonts w:ascii="Noto Sans CJK SC" w:hAnsi="Noto Sans CJK SC" w:eastAsia="Noto Sans CJK SC"/>
                <w:b w:val="0"/>
                <w:color w:val="232323"/>
                <w:sz w:val="17"/>
              </w:rPr>
              <w:t>场景规划与正文可选关联</w:t>
            </w:r>
          </w:p>
        </w:tc>
        <w:tc>
          <w:tcPr>
            <w:tcW w:type="dxa" w:w="4082"/>
            <w:vAlign w:val="center"/>
            <w:tcMar>
              <w:top w:w="80" w:type="dxa"/>
              <w:start w:w="100" w:type="dxa"/>
              <w:bottom w:w="80" w:type="dxa"/>
              <w:end w:w="100" w:type="dxa"/>
            </w:tcMar>
            <w:shd w:fill="F8FAFD"/>
          </w:tcPr>
          <w:p>
            <w:pPr>
              <w:spacing w:after="0" w:before="0"/>
            </w:pPr>
            <w:r>
              <w:rPr>
                <w:rFonts w:ascii="Noto Sans CJK SC" w:hAnsi="Noto Sans CJK SC" w:eastAsia="Noto Sans CJK SC"/>
                <w:b w:val="0"/>
                <w:color w:val="232323"/>
                <w:sz w:val="17"/>
              </w:rPr>
              <w:t>chapter_id、goal、conflict、outcome、order_key、estimated_words</w:t>
            </w:r>
          </w:p>
        </w:tc>
      </w:tr>
      <w:tr>
        <w:trPr>
          <w:cantSplit/>
        </w:trP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project_terms</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项目专名词典</w:t>
            </w:r>
          </w:p>
        </w:tc>
        <w:tc>
          <w:tcPr>
            <w:tcW w:type="dxa" w:w="408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term、canonical_form、aliases、ignore_rule、updated_at</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candidate_apply_records</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候选采用与整体撤销审计</w:t>
            </w:r>
          </w:p>
        </w:tc>
        <w:tc>
          <w:tcPr>
            <w:tcW w:type="dxa" w:w="408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candidate_id, draft_id, before_revision, after_revision, apply_transaction_id</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memory_summaries</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章节/剧情弧/卷级派生摘要</w:t>
            </w:r>
          </w:p>
        </w:tc>
        <w:tc>
          <w:tcPr>
            <w:tcW w:type="dxa" w:w="408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scope_type、scope_id、chapter_range、content、source_hash、status</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continuity_checkpoints</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卷级连续性基线</w:t>
            </w:r>
          </w:p>
        </w:tc>
        <w:tc>
          <w:tcPr>
            <w:tcW w:type="dxa" w:w="408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volume_id、final_chapter_id、state_snapshot_json、source_hash、confirmed_at</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project_diary_entries</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AI项目日记</w:t>
            </w:r>
          </w:p>
        </w:tc>
        <w:tc>
          <w:tcPr>
            <w:tcW w:type="dxa" w:w="408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entry_type、range、trigger_type、status、content、source_hash</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project_diary_sources</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日记来源追溯</w:t>
            </w:r>
          </w:p>
        </w:tc>
        <w:tc>
          <w:tcPr>
            <w:tcW w:type="dxa" w:w="408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entry_id、source_type、source_id、version_id、block_id</w:t>
            </w:r>
          </w:p>
        </w:tc>
      </w:tr>
      <w:tr>
        <w:tc>
          <w:tcPr>
            <w:tcW w:type="dxa" w:w="2324"/>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project_diary_settings</w:t>
            </w:r>
          </w:p>
        </w:tc>
        <w:tc>
          <w:tcPr>
            <w:tcW w:type="dxa" w:w="2891"/>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本地计划与模型设置</w:t>
            </w:r>
          </w:p>
        </w:tc>
        <w:tc>
          <w:tcPr>
            <w:tcW w:type="dxa" w:w="4082"/>
            <w:vAlign w:val="center"/>
            <w:tcMar>
              <w:top w:w="80" w:type="dxa"/>
              <w:start w:w="100" w:type="dxa"/>
              <w:bottom w:w="80" w:type="dxa"/>
              <w:end w:w="100" w:type="dxa"/>
            </w:tcMar>
          </w:tcPr>
          <w:p>
            <w:pPr>
              <w:spacing w:after="0" w:before="0"/>
            </w:pPr>
            <w:r>
              <w:rPr>
                <w:rFonts w:ascii="Noto Sans CJK SC" w:hAnsi="Noto Sans CJK SC" w:eastAsia="Noto Sans CJK SC"/>
                <w:b w:val="0"/>
                <w:color w:val="232323"/>
                <w:sz w:val="17"/>
              </w:rPr>
              <w:t>enabled、cadence、interval、preferred_time、provider_id、last_checked_at</w:t>
            </w:r>
          </w:p>
        </w:tc>
      </w:tr>
    </w:tbl>
    <w:p>
      <w:pPr>
        <w:pStyle w:val="Heading1"/>
        <w:keepNext/>
      </w:pPr>
      <w:r>
        <w:t>附录B. Definition of Done</w:t>
      </w:r>
    </w:p>
    <w:p>
      <w:pPr>
        <w:pStyle w:val="ListBullet"/>
        <w:spacing w:after="40"/>
        <w:ind w:left="283" w:hanging="142"/>
      </w:pPr>
      <w:r>
        <w:rPr>
          <w:rFonts w:ascii="Noto Sans CJK SC" w:hAnsi="Noto Sans CJK SC" w:eastAsia="Noto Sans CJK SC"/>
          <w:sz w:val="21"/>
        </w:rPr>
        <w:t>功能具有明确输入、输出、错误和权限边界。</w:t>
      </w:r>
    </w:p>
    <w:p>
      <w:pPr>
        <w:pStyle w:val="ListBullet"/>
        <w:spacing w:after="40"/>
        <w:ind w:left="283" w:hanging="142"/>
      </w:pPr>
      <w:r>
        <w:rPr>
          <w:rFonts w:ascii="Noto Sans CJK SC" w:hAnsi="Noto Sans CJK SC" w:eastAsia="Noto Sans CJK SC"/>
          <w:sz w:val="21"/>
        </w:rPr>
        <w:t>关键路径有单元或集成测试，且测试先于或同步于实现。</w:t>
      </w:r>
    </w:p>
    <w:p>
      <w:pPr>
        <w:pStyle w:val="ListBullet"/>
        <w:spacing w:after="40"/>
        <w:ind w:left="283" w:hanging="142"/>
      </w:pPr>
      <w:r>
        <w:rPr>
          <w:rFonts w:ascii="Noto Sans CJK SC" w:hAnsi="Noto Sans CJK SC" w:eastAsia="Noto Sans CJK SC"/>
          <w:sz w:val="21"/>
        </w:rPr>
        <w:t>数据库变更附Migration和回滚/失败保护。</w:t>
      </w:r>
    </w:p>
    <w:p>
      <w:pPr>
        <w:pStyle w:val="ListBullet"/>
        <w:spacing w:after="40"/>
        <w:ind w:left="283" w:hanging="142"/>
      </w:pPr>
      <w:r>
        <w:rPr>
          <w:rFonts w:ascii="Noto Sans CJK SC" w:hAnsi="Noto Sans CJK SC" w:eastAsia="Noto Sans CJK SC"/>
          <w:sz w:val="21"/>
        </w:rPr>
        <w:t>Renderer不能绕过Core直接写数据库或读取密钥。</w:t>
      </w:r>
    </w:p>
    <w:p>
      <w:pPr>
        <w:pStyle w:val="ListBullet"/>
        <w:spacing w:after="40"/>
        <w:ind w:left="283" w:hanging="142"/>
      </w:pPr>
      <w:r>
        <w:rPr>
          <w:rFonts w:ascii="Noto Sans CJK SC" w:hAnsi="Noto Sans CJK SC" w:eastAsia="Noto Sans CJK SC"/>
          <w:sz w:val="21"/>
        </w:rPr>
        <w:t>AI输出通过Schema或明确的文本解析流程验证。</w:t>
      </w:r>
    </w:p>
    <w:p>
      <w:pPr>
        <w:pStyle w:val="ListBullet"/>
        <w:spacing w:after="40"/>
        <w:ind w:left="283" w:hanging="142"/>
      </w:pPr>
      <w:r>
        <w:rPr>
          <w:rFonts w:ascii="Noto Sans CJK SC" w:hAnsi="Noto Sans CJK SC" w:eastAsia="Noto Sans CJK SC"/>
          <w:sz w:val="21"/>
        </w:rPr>
        <w:t>失败、取消和冲突路径在界面中有可理解反馈。</w:t>
      </w:r>
    </w:p>
    <w:p>
      <w:pPr>
        <w:pStyle w:val="ListBullet"/>
        <w:spacing w:after="40"/>
        <w:ind w:left="283" w:hanging="142"/>
      </w:pPr>
      <w:r>
        <w:rPr>
          <w:rFonts w:ascii="Noto Sans CJK SC" w:hAnsi="Noto Sans CJK SC" w:eastAsia="Noto Sans CJK SC"/>
          <w:sz w:val="21"/>
        </w:rPr>
        <w:t>用户数据不进入日志、遥测或WorldForge服务。</w:t>
      </w:r>
    </w:p>
    <w:p>
      <w:pPr>
        <w:pStyle w:val="ListBullet"/>
        <w:spacing w:after="40"/>
        <w:ind w:left="283" w:hanging="142"/>
      </w:pPr>
      <w:r>
        <w:rPr>
          <w:rFonts w:ascii="Noto Sans CJK SC" w:hAnsi="Noto Sans CJK SC" w:eastAsia="Noto Sans CJK SC"/>
          <w:sz w:val="21"/>
        </w:rPr>
        <w:t>实际运行命令、测试结果和剩余风险已记录。</w:t>
      </w:r>
    </w:p>
    <w:p>
      <w:pPr>
        <w:pStyle w:val="IntenseQuote"/>
      </w:pPr>
      <w:r>
        <w:t>V6.5完成后，WorldForge v1的基础能力、交互路径、视觉系统、AI质量门槛和超长篇记忆架构已经闭环。后续不得以“继续完善”为理由扩张一级模块，应转入可点击原型验证、核心开发、百万字评测、性能优化和真实作者测试。</w:t>
      </w:r>
    </w:p>
    <w:p>
      <w:pPr>
        <w:pStyle w:val="Heading1"/>
      </w:pPr>
      <w:r>
        <w:t>附录C. V6.5实施冻结检查清单</w:t>
      </w:r>
    </w:p>
    <w:p>
      <w:pPr>
        <w:pStyle w:val="ListBullet"/>
      </w:pPr>
      <w:r>
        <w:t>V1.0与V1.5范围在任务系统中分离，M4A—M4E不阻塞V1.0。</w:t>
      </w:r>
    </w:p>
    <w:p>
      <w:pPr>
        <w:pStyle w:val="ListBullet"/>
      </w:pPr>
      <w:r>
        <w:t>SQLite WAL、busy_timeout、写队列和流式IPC协议具有自动化测试。</w:t>
      </w:r>
    </w:p>
    <w:p>
      <w:pPr>
        <w:pStyle w:val="ListBullet"/>
      </w:pPr>
      <w:r>
        <w:t>Electron安全配置、IPC白名单和DOCX导入隔离通过安全测试。</w:t>
      </w:r>
    </w:p>
    <w:p>
      <w:pPr>
        <w:pStyle w:val="ListBullet"/>
      </w:pPr>
      <w:r>
        <w:t>三轨备份、完整性检查、恢复副本和项目维护工具可用。</w:t>
      </w:r>
    </w:p>
    <w:p>
      <w:pPr>
        <w:pStyle w:val="ListBullet"/>
      </w:pPr>
      <w:r>
        <w:t>2K、21:9曲面/超宽屏、混合DPI和13英寸最低视口完成实机或等效测试。</w:t>
      </w:r>
    </w:p>
    <w:p>
      <w:pPr>
        <w:pStyle w:val="ListBullet"/>
      </w:pPr>
      <w:r>
        <w:t>代码硬保证与模型质量指标分开验收，未验证模型明确降级。</w:t>
      </w:r>
    </w:p>
    <w:p>
      <w:pPr>
        <w:pStyle w:val="Heading1"/>
        <w:keepNext/>
      </w:pPr>
      <w:r>
        <w:t>结语：最终产品边界</w:t>
      </w:r>
    </w:p>
    <w:p>
      <w:pPr>
        <w:spacing w:line="324" w:lineRule="auto" w:after="100"/>
        <w:ind w:firstLine="420"/>
      </w:pPr>
      <w:r>
        <w:t>WorldForge V6.5是基础功能、交互、视觉、AI体验与超长篇记忆冻结后的v1工程基线。它不成为模型运行时、知识管理平台、连载运营后台或生态平台，只解决单个作者本地长篇创作中的核心问题：规划、生成、编辑、长期连续性、修订、版本、项目日记、导入与导出。</w:t>
      </w:r>
    </w:p>
    <w:tbl>
      <w:tblPr>
        <w:tblW w:type="auto" w:w="0"/>
        <w:tblLayout w:type="autofit"/>
        <w:tblLook w:firstColumn="1" w:firstRow="1" w:lastColumn="0" w:lastRow="0" w:noHBand="0" w:noVBand="1" w:val="04A0"/>
        <w:jc w:val="center"/>
        <w:tblBorders>
          <w:top w:val="single" w:sz="8" w:space="0" w:color="2F7B4B"/>
          <w:left w:val="single" w:sz="8" w:space="0" w:color="2F7B4B"/>
          <w:bottom w:val="single" w:sz="8" w:space="0" w:color="2F7B4B"/>
          <w:right w:val="single" w:sz="8" w:space="0" w:color="2F7B4B"/>
          <w:insideH w:val="single" w:sz="8" w:space="0" w:color="2F7B4B"/>
          <w:insideV w:val="single" w:sz="8" w:space="0" w:color="2F7B4B"/>
        </w:tblBorders>
      </w:tblPr>
      <w:tblGrid>
        <w:gridCol w:w="9638"/>
      </w:tblGrid>
      <w:tr>
        <w:tc>
          <w:tcPr>
            <w:tcW w:type="dxa" w:w="9638"/>
            <w:shd w:fill="EEF4F1"/>
            <w:tcMar>
              <w:top w:w="90" w:type="dxa"/>
              <w:start w:w="110" w:type="dxa"/>
              <w:bottom w:w="90" w:type="dxa"/>
              <w:end w:w="110" w:type="dxa"/>
            </w:tcMar>
            <w:vAlign w:val="center"/>
          </w:tcPr>
          <w:p>
            <w:r>
              <w:rPr>
                <w:rFonts w:ascii="Noto Sans CJK SC" w:hAnsi="Noto Sans CJK SC" w:eastAsia="Noto Sans CJK SC"/>
                <w:b/>
                <w:color w:val="1F3B34"/>
                <w:sz w:val="20"/>
              </w:rPr>
              <w:t>最终定义：一个作者使用自己选择的模型API，在本地稳定完成一部长篇小说；系统以分层、时序化记忆维持数百万字连续性，并以AI项目日记提供可读、可追溯的项目发展记录。</w:t>
            </w:r>
          </w:p>
        </w:tc>
        <w:trPr>
          <w:tblHeader/>
          <w:cantSplit/>
        </w:trPr>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B7785"/>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WorldForge V6.5 · 实施安全、并发与高分屏适配冻结</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SC" w:hAnsi="Noto Sans CJK SC" w:eastAsia="Noto Sans CJK S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28527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395E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3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5367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WorldForge V6.5 实施安全、并发与高分屏适配冻结最终工程设计文档</dc:title>
  <dc:subject>本地AI长篇写作工作站工程设计；并发、安全、2K与曲面/超宽屏适配</dc:subject>
  <dc:creator>WorldForge Project</dc:creator>
  <cp:keywords>WorldForge, Electron, SQLite, Tiptap, AI写作, 2K, 曲面屏, 超宽屏, 高DPI, 本地优先</cp:keywords>
  <dc:description>V6.5基于V6.4评估补充实施安全、并发和高分屏适配。</dc:description>
  <cp:lastModifiedBy/>
  <cp:revision>1</cp:revision>
  <dcterms:created xsi:type="dcterms:W3CDTF">2013-12-23T23:15:00Z</dcterms:created>
  <dcterms:modified xsi:type="dcterms:W3CDTF">2013-12-23T23:15:00Z</dcterms:modified>
  <cp:category/>
</cp:coreProperties>
</file>