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C1C79" w:rsidRPr="005C1C79" w:rsidRDefault="005C1C79" w:rsidP="005C1C79">
      <w:pPr>
        <w:keepNext/>
        <w:spacing w:after="0" w:line="240" w:lineRule="auto"/>
        <w:jc w:val="center"/>
        <w:outlineLvl w:val="0"/>
        <w:rPr>
          <w:rFonts w:ascii="Calibri" w:eastAsia="Times New Roman" w:hAnsi="Calibri" w:cs="Times New Roman"/>
          <w:b/>
          <w:bCs/>
          <w:i/>
          <w:kern w:val="32"/>
          <w:sz w:val="28"/>
          <w:szCs w:val="28"/>
          <w:lang w:eastAsia="fr-FR"/>
        </w:rPr>
      </w:pPr>
      <w:r w:rsidRPr="005C1C79">
        <w:rPr>
          <w:rFonts w:ascii="Calibri" w:eastAsia="Times New Roman" w:hAnsi="Calibri" w:cs="Arial"/>
          <w:b/>
          <w:bCs/>
          <w:i/>
          <w:kern w:val="32"/>
          <w:sz w:val="28"/>
          <w:szCs w:val="28"/>
          <w:lang w:eastAsia="fr-FR"/>
        </w:rPr>
        <w:t>Attestation sur l’honneur</w:t>
      </w:r>
    </w:p>
    <w:p w:rsidR="005C1C79" w:rsidRPr="005C1C79" w:rsidRDefault="005C1C79" w:rsidP="005C1C79">
      <w:pPr>
        <w:spacing w:after="0" w:line="240" w:lineRule="auto"/>
        <w:rPr>
          <w:rFonts w:ascii="Calibri" w:eastAsia="Times New Roman" w:hAnsi="Calibri" w:cs="Times New Roman"/>
          <w:lang w:eastAsia="fr-FR"/>
        </w:rPr>
      </w:pPr>
    </w:p>
    <w:p w:rsidR="005C1C79" w:rsidRPr="005C1C79" w:rsidRDefault="005C1C79" w:rsidP="005C1C79">
      <w:pPr>
        <w:spacing w:after="0" w:line="240" w:lineRule="auto"/>
        <w:rPr>
          <w:rFonts w:ascii="Calibri" w:eastAsia="Times New Roman" w:hAnsi="Calibri" w:cs="Times New Roman"/>
          <w:lang w:eastAsia="fr-FR"/>
        </w:rPr>
      </w:pPr>
      <w:r w:rsidRPr="005C1C79">
        <w:rPr>
          <w:rFonts w:ascii="Calibri" w:eastAsia="Times New Roman" w:hAnsi="Calibri" w:cs="Times New Roman"/>
          <w:lang w:eastAsia="fr-FR"/>
        </w:rPr>
        <w:t>Je soussigné, …………………………………………………………………..………… ;</w:t>
      </w:r>
    </w:p>
    <w:p w:rsidR="005C1C79" w:rsidRPr="005C1C79" w:rsidRDefault="005C1C79" w:rsidP="005C1C79">
      <w:pPr>
        <w:spacing w:after="0" w:line="240" w:lineRule="auto"/>
        <w:rPr>
          <w:rFonts w:ascii="Calibri" w:eastAsia="Times New Roman" w:hAnsi="Calibri" w:cs="Times New Roman"/>
          <w:lang w:eastAsia="fr-FR"/>
        </w:rPr>
      </w:pPr>
      <w:r w:rsidRPr="005C1C79">
        <w:rPr>
          <w:rFonts w:ascii="Calibri" w:eastAsia="Times New Roman" w:hAnsi="Calibri" w:cs="Times New Roman"/>
          <w:lang w:eastAsia="fr-FR"/>
        </w:rPr>
        <w:t>Nom du prestataire : ……………………………………………………………………. ;</w:t>
      </w:r>
    </w:p>
    <w:p w:rsidR="005C1C79" w:rsidRPr="005C1C79" w:rsidRDefault="005C1C79" w:rsidP="005C1C79">
      <w:pPr>
        <w:spacing w:after="0" w:line="240" w:lineRule="auto"/>
        <w:rPr>
          <w:rFonts w:ascii="Calibri" w:eastAsia="Times New Roman" w:hAnsi="Calibri" w:cs="Times New Roman"/>
          <w:lang w:eastAsia="fr-FR"/>
        </w:rPr>
      </w:pPr>
    </w:p>
    <w:p w:rsidR="005C1C79" w:rsidRPr="005C1C79" w:rsidRDefault="005C1C79" w:rsidP="005C1C79">
      <w:pPr>
        <w:spacing w:after="0" w:line="240" w:lineRule="auto"/>
        <w:jc w:val="both"/>
        <w:rPr>
          <w:rFonts w:ascii="Calibri" w:eastAsia="Times New Roman" w:hAnsi="Calibri" w:cs="Times New Roman"/>
          <w:lang w:eastAsia="fr-FR"/>
        </w:rPr>
      </w:pPr>
      <w:r w:rsidRPr="005C1C79">
        <w:rPr>
          <w:rFonts w:ascii="Calibri" w:eastAsia="Times New Roman" w:hAnsi="Calibri" w:cs="Times New Roman"/>
          <w:lang w:eastAsia="fr-FR"/>
        </w:rPr>
        <w:t xml:space="preserve">Atteste sur l’honneur n’entrer dans aucun des cas mentionnés indiqués ci-dessous : </w:t>
      </w:r>
    </w:p>
    <w:p w:rsidR="005C1C79" w:rsidRPr="005C1C79" w:rsidRDefault="005C1C79" w:rsidP="005C1C79">
      <w:pPr>
        <w:spacing w:after="0" w:line="240" w:lineRule="auto"/>
        <w:jc w:val="both"/>
        <w:rPr>
          <w:rFonts w:ascii="Calibri" w:eastAsia="Times New Roman" w:hAnsi="Calibri" w:cs="Times New Roman"/>
          <w:b/>
          <w:u w:val="single"/>
          <w:lang w:eastAsia="fr-FR"/>
        </w:rPr>
      </w:pPr>
    </w:p>
    <w:p w:rsidR="005C1C79" w:rsidRPr="005C1C79" w:rsidRDefault="005C1C79" w:rsidP="005C1C79">
      <w:pPr>
        <w:spacing w:after="0" w:line="240" w:lineRule="auto"/>
        <w:jc w:val="both"/>
        <w:rPr>
          <w:rFonts w:ascii="Calibri" w:eastAsia="Times New Roman" w:hAnsi="Calibri" w:cs="Times New Roman"/>
          <w:lang w:eastAsia="fr-FR"/>
        </w:rPr>
      </w:pPr>
      <w:r w:rsidRPr="005C1C79">
        <w:rPr>
          <w:rFonts w:ascii="Calibri" w:eastAsia="Times New Roman" w:hAnsi="Calibri" w:cs="Times New Roman"/>
          <w:b/>
          <w:u w:val="single"/>
          <w:lang w:eastAsia="fr-FR"/>
        </w:rPr>
        <w:t>Ne sont pas admises à soumissionner</w:t>
      </w:r>
      <w:r w:rsidRPr="005C1C79">
        <w:rPr>
          <w:rFonts w:ascii="Calibri" w:eastAsia="Times New Roman" w:hAnsi="Calibri" w:cs="Times New Roman"/>
          <w:lang w:eastAsia="fr-FR"/>
        </w:rPr>
        <w:t> :</w:t>
      </w:r>
    </w:p>
    <w:p w:rsidR="005C1C79" w:rsidRPr="005C1C79" w:rsidRDefault="005C1C79" w:rsidP="005C1C79">
      <w:pPr>
        <w:spacing w:after="0" w:line="240" w:lineRule="auto"/>
        <w:jc w:val="both"/>
        <w:rPr>
          <w:rFonts w:ascii="Calibri" w:eastAsia="Times New Roman" w:hAnsi="Calibri" w:cs="Times New Roman"/>
          <w:lang w:eastAsia="fr-FR"/>
        </w:rPr>
      </w:pPr>
    </w:p>
    <w:p w:rsidR="005C1C79" w:rsidRDefault="005C1C79" w:rsidP="005C1C79">
      <w:pPr>
        <w:spacing w:after="0" w:line="240" w:lineRule="auto"/>
        <w:jc w:val="both"/>
        <w:rPr>
          <w:rFonts w:ascii="Calibri" w:eastAsia="Times New Roman" w:hAnsi="Calibri" w:cs="Times New Roman"/>
          <w:lang w:eastAsia="fr-FR"/>
        </w:rPr>
      </w:pPr>
      <w:r w:rsidRPr="005C1C79">
        <w:rPr>
          <w:rFonts w:ascii="Calibri" w:eastAsia="Times New Roman" w:hAnsi="Calibri" w:cs="Times New Roman"/>
          <w:b/>
          <w:lang w:eastAsia="fr-FR"/>
        </w:rPr>
        <w:t>1°</w:t>
      </w:r>
      <w:r w:rsidRPr="005C1C79">
        <w:rPr>
          <w:rFonts w:ascii="Calibri" w:eastAsia="Times New Roman" w:hAnsi="Calibri" w:cs="Times New Roman"/>
          <w:lang w:eastAsia="fr-FR"/>
        </w:rPr>
        <w:t xml:space="preserve"> Les personnes qui ont fait l'objet, depuis moins de cinq ans, d'une condamnation définitive pour l'une des infractions prévues par les articles 222-38, 222-40, 313-1 à 313-3, 314-1 à 314-3, 324-1 à 324-6, 421-2-1, par le deuxième alinéa de l'article 421-5, par l'article 433-1, par le deuxième alinéa de l'article 434-9, par les articles 435-2, 441-1 à 441-7, par les premier et deuxième alinéas de l'article 441-8, par l'article 441-9 et par l'article 450-1 du code pénal, ainsi que par le deuxième alinéa de l'article L. 152-6 du code du travail et par l'article 1741 du code général des impôts ; </w:t>
      </w:r>
    </w:p>
    <w:p w:rsidR="00742004" w:rsidRPr="005C1C79" w:rsidRDefault="00742004" w:rsidP="005C1C79">
      <w:pPr>
        <w:spacing w:after="0" w:line="240" w:lineRule="auto"/>
        <w:jc w:val="both"/>
        <w:rPr>
          <w:rFonts w:ascii="Calibri" w:eastAsia="Times New Roman" w:hAnsi="Calibri" w:cs="Times New Roman"/>
          <w:lang w:eastAsia="fr-FR"/>
        </w:rPr>
      </w:pPr>
    </w:p>
    <w:p w:rsidR="005C1C79" w:rsidRDefault="005C1C79" w:rsidP="005C1C79">
      <w:pPr>
        <w:spacing w:after="0" w:line="240" w:lineRule="auto"/>
        <w:jc w:val="both"/>
        <w:rPr>
          <w:rFonts w:ascii="Calibri" w:eastAsia="Times New Roman" w:hAnsi="Calibri" w:cs="Times New Roman"/>
          <w:lang w:eastAsia="fr-FR"/>
        </w:rPr>
      </w:pPr>
      <w:r w:rsidRPr="005C1C79">
        <w:rPr>
          <w:rFonts w:ascii="Calibri" w:eastAsia="Times New Roman" w:hAnsi="Calibri" w:cs="Times New Roman"/>
          <w:b/>
          <w:lang w:eastAsia="fr-FR"/>
        </w:rPr>
        <w:t>2°</w:t>
      </w:r>
      <w:r w:rsidRPr="005C1C79">
        <w:rPr>
          <w:rFonts w:ascii="Calibri" w:eastAsia="Times New Roman" w:hAnsi="Calibri" w:cs="Times New Roman"/>
          <w:lang w:eastAsia="fr-FR"/>
        </w:rPr>
        <w:t xml:space="preserve"> Les personnes qui ont fait l'objet, depuis moins de cinq ans, d'une condamnation inscrite au bulletin n° 2 du casier judiciaire pour les infractions mentionnées aux articles L. 324-9, L. 324-10, L. 341-6, L. 125-1 et L. 125-3 du code du travail ; </w:t>
      </w:r>
    </w:p>
    <w:p w:rsidR="00742004" w:rsidRPr="005C1C79" w:rsidRDefault="00742004" w:rsidP="005C1C79">
      <w:pPr>
        <w:spacing w:after="0" w:line="240" w:lineRule="auto"/>
        <w:jc w:val="both"/>
        <w:rPr>
          <w:rFonts w:ascii="Calibri" w:eastAsia="Times New Roman" w:hAnsi="Calibri" w:cs="Times New Roman"/>
          <w:lang w:eastAsia="fr-FR"/>
        </w:rPr>
      </w:pPr>
    </w:p>
    <w:p w:rsidR="005C1C79" w:rsidRDefault="005C1C79" w:rsidP="005C1C79">
      <w:pPr>
        <w:spacing w:after="0" w:line="240" w:lineRule="auto"/>
        <w:jc w:val="both"/>
        <w:rPr>
          <w:rFonts w:ascii="Calibri" w:eastAsia="Times New Roman" w:hAnsi="Calibri" w:cs="Times New Roman"/>
          <w:lang w:eastAsia="fr-FR"/>
        </w:rPr>
      </w:pPr>
      <w:r w:rsidRPr="005C1C79">
        <w:rPr>
          <w:rFonts w:ascii="Calibri" w:eastAsia="Times New Roman" w:hAnsi="Calibri" w:cs="Times New Roman"/>
          <w:b/>
          <w:lang w:eastAsia="fr-FR"/>
        </w:rPr>
        <w:t>3°</w:t>
      </w:r>
      <w:r w:rsidRPr="005C1C79">
        <w:rPr>
          <w:rFonts w:ascii="Calibri" w:eastAsia="Times New Roman" w:hAnsi="Calibri" w:cs="Times New Roman"/>
          <w:lang w:eastAsia="fr-FR"/>
        </w:rPr>
        <w:t xml:space="preserve"> Les personnes en état de liquidation judiciaire au sens de l'article L. 620-1 du code de commerce et les personnes physiques dont la faillite personnelle, au sens de l'article L. 625-2 du même code, a été prononcée ainsi que les personnes faisant l'objet d'une procédure équivalente régie par un droit étranger. Les personnes admises au redressement judiciaire au sens de l'article L. 620-1 du code de commerce ou à une procédure équivalente régie par un droit étranger doivent justifier qu'elles ont été habilitées à poursuivre leur activité pendant la durée prévisible d'exécution du marché ; </w:t>
      </w:r>
    </w:p>
    <w:p w:rsidR="00742004" w:rsidRPr="005C1C79" w:rsidRDefault="00742004" w:rsidP="005C1C79">
      <w:pPr>
        <w:spacing w:after="0" w:line="240" w:lineRule="auto"/>
        <w:jc w:val="both"/>
        <w:rPr>
          <w:rFonts w:ascii="Calibri" w:eastAsia="Times New Roman" w:hAnsi="Calibri" w:cs="Times New Roman"/>
          <w:lang w:eastAsia="fr-FR"/>
        </w:rPr>
      </w:pPr>
    </w:p>
    <w:p w:rsidR="005C1C79" w:rsidRDefault="005C1C79" w:rsidP="005C1C79">
      <w:pPr>
        <w:spacing w:after="0" w:line="240" w:lineRule="auto"/>
        <w:jc w:val="both"/>
        <w:rPr>
          <w:rFonts w:ascii="Calibri" w:eastAsia="Times New Roman" w:hAnsi="Calibri" w:cs="Times New Roman"/>
          <w:lang w:eastAsia="fr-FR"/>
        </w:rPr>
      </w:pPr>
      <w:r w:rsidRPr="005C1C79">
        <w:rPr>
          <w:rFonts w:ascii="Calibri" w:eastAsia="Times New Roman" w:hAnsi="Calibri" w:cs="Times New Roman"/>
          <w:b/>
          <w:lang w:eastAsia="fr-FR"/>
        </w:rPr>
        <w:t>4°</w:t>
      </w:r>
      <w:r w:rsidRPr="005C1C79">
        <w:rPr>
          <w:rFonts w:ascii="Calibri" w:eastAsia="Times New Roman" w:hAnsi="Calibri" w:cs="Times New Roman"/>
          <w:lang w:eastAsia="fr-FR"/>
        </w:rPr>
        <w:t xml:space="preserve"> Les personnes qui, au 31 décembre de l'année précédant celle au cours de laquelle a lieu le lancement de la consultation, n'ont pas souscrit les déclarations leur incombant en matière fiscale et sociale ou n'ont pas acquitté les impôts et cotisations exigibles à cette date. Toutefois, sont considérées comme en situation régulière les personnes qui, au 31 décembre de l'année précédant celle au cours de laquelle a eu lieu le lancement de la consultation, n'avaient pas acquitté les divers produits devenus exigibles à cette date, ni constitué de garanties, mais qui, avant la date du lancement de la consultation, ont, en l'absence de toute mesure d'exécution du comptable ou de l'organisme chargé du recouvrement, soit acquitté lesdits produits, soit constitué des garanties jugées suffisantes par le comptable ou l'organisme chargé du recouvrement. Les personnes physiques qui sont dirigeants de droit ou de fait d'une personne morale qui ne satisfait pas aux conditions prévues aux alinéas précédents ne peuvent être personnellement candidates à un marché. </w:t>
      </w:r>
    </w:p>
    <w:p w:rsidR="00742004" w:rsidRPr="005C1C79" w:rsidRDefault="00742004" w:rsidP="005C1C79">
      <w:pPr>
        <w:spacing w:after="0" w:line="240" w:lineRule="auto"/>
        <w:jc w:val="both"/>
        <w:rPr>
          <w:rFonts w:ascii="Calibri" w:eastAsia="Times New Roman" w:hAnsi="Calibri" w:cs="Times New Roman"/>
          <w:lang w:eastAsia="fr-FR"/>
        </w:rPr>
      </w:pPr>
    </w:p>
    <w:p w:rsidR="005C1C79" w:rsidRPr="005C1C79" w:rsidRDefault="005C1C79" w:rsidP="005C1C79">
      <w:pPr>
        <w:autoSpaceDE w:val="0"/>
        <w:autoSpaceDN w:val="0"/>
        <w:adjustRightInd w:val="0"/>
        <w:spacing w:after="0" w:line="240" w:lineRule="auto"/>
        <w:jc w:val="both"/>
        <w:rPr>
          <w:rFonts w:ascii="Calibri" w:eastAsia="Times New Roman" w:hAnsi="Calibri" w:cs="Times New Roman"/>
          <w:lang w:eastAsia="fr-FR"/>
        </w:rPr>
      </w:pPr>
      <w:r w:rsidRPr="005C1C79">
        <w:rPr>
          <w:rFonts w:ascii="Calibri" w:eastAsia="Times New Roman" w:hAnsi="Calibri" w:cs="Times New Roman"/>
          <w:lang w:eastAsia="fr-FR"/>
        </w:rPr>
        <w:t xml:space="preserve">De </w:t>
      </w:r>
      <w:r w:rsidR="00742004" w:rsidRPr="005C1C79">
        <w:rPr>
          <w:rFonts w:ascii="Calibri" w:eastAsia="Times New Roman" w:hAnsi="Calibri" w:cs="Times New Roman"/>
          <w:lang w:eastAsia="fr-FR"/>
        </w:rPr>
        <w:t>même, ne</w:t>
      </w:r>
      <w:bookmarkStart w:id="0" w:name="_GoBack"/>
      <w:bookmarkEnd w:id="0"/>
      <w:r w:rsidRPr="005C1C79">
        <w:rPr>
          <w:rFonts w:ascii="Calibri" w:eastAsia="Times New Roman" w:hAnsi="Calibri" w:cs="Times New Roman"/>
          <w:lang w:eastAsia="fr-FR"/>
        </w:rPr>
        <w:t xml:space="preserve"> sont pas admises à concourir aux marchés publics les personnes assujetties à l’obligation définie à l’article L. 323-1 du code du travail qui, au cours de l’année précédant celle au cours de laquelle a eu lieu le lancement de la consultation, n’ont pas souscrit la déclaration visée à l’article L. 323-8-5 du même code ou n’ont pas, si elles en sont redevables, versé la contribution visée à l’article L. 323-8-2 de ce code (article 29 de la loi n°2005-102 du 11 février 2005). </w:t>
      </w:r>
    </w:p>
    <w:p w:rsidR="005C1C79" w:rsidRPr="005C1C79" w:rsidRDefault="005C1C79" w:rsidP="005C1C79">
      <w:pPr>
        <w:autoSpaceDE w:val="0"/>
        <w:autoSpaceDN w:val="0"/>
        <w:adjustRightInd w:val="0"/>
        <w:spacing w:after="0" w:line="240" w:lineRule="auto"/>
        <w:jc w:val="both"/>
        <w:rPr>
          <w:rFonts w:ascii="Calibri" w:eastAsia="Times New Roman" w:hAnsi="Calibri" w:cs="Times New Roman"/>
          <w:lang w:eastAsia="fr-FR"/>
        </w:rPr>
      </w:pPr>
    </w:p>
    <w:p w:rsidR="005C1C79" w:rsidRPr="005C1C79" w:rsidRDefault="005C1C79" w:rsidP="005C1C79">
      <w:pPr>
        <w:autoSpaceDE w:val="0"/>
        <w:autoSpaceDN w:val="0"/>
        <w:adjustRightInd w:val="0"/>
        <w:spacing w:after="0" w:line="240" w:lineRule="auto"/>
        <w:ind w:firstLine="708"/>
        <w:jc w:val="both"/>
        <w:rPr>
          <w:rFonts w:ascii="Calibri" w:eastAsia="Times New Roman" w:hAnsi="Calibri" w:cs="Times New Roman"/>
          <w:lang w:eastAsia="fr-FR"/>
        </w:rPr>
      </w:pPr>
    </w:p>
    <w:p w:rsidR="005C1C79" w:rsidRPr="005C1C79" w:rsidRDefault="005C1C79" w:rsidP="005C1C79">
      <w:pPr>
        <w:autoSpaceDE w:val="0"/>
        <w:autoSpaceDN w:val="0"/>
        <w:adjustRightInd w:val="0"/>
        <w:spacing w:after="0" w:line="240" w:lineRule="auto"/>
        <w:ind w:firstLine="708"/>
        <w:jc w:val="both"/>
        <w:rPr>
          <w:rFonts w:ascii="Calibri" w:eastAsia="Times New Roman" w:hAnsi="Calibri" w:cs="Times New Roman"/>
          <w:lang w:eastAsia="fr-FR"/>
        </w:rPr>
      </w:pPr>
    </w:p>
    <w:p w:rsidR="005C1C79" w:rsidRPr="005C1C79" w:rsidRDefault="005C1C79" w:rsidP="005C1C79">
      <w:pPr>
        <w:autoSpaceDE w:val="0"/>
        <w:autoSpaceDN w:val="0"/>
        <w:adjustRightInd w:val="0"/>
        <w:spacing w:after="0" w:line="240" w:lineRule="auto"/>
        <w:ind w:firstLine="708"/>
        <w:jc w:val="both"/>
        <w:rPr>
          <w:rFonts w:ascii="Calibri" w:eastAsia="Times New Roman" w:hAnsi="Calibri" w:cs="Times New Roman"/>
          <w:lang w:eastAsia="fr-FR"/>
        </w:rPr>
      </w:pPr>
      <w:r w:rsidRPr="005C1C79">
        <w:rPr>
          <w:rFonts w:ascii="Calibri" w:eastAsia="Times New Roman" w:hAnsi="Calibri" w:cs="Times New Roman"/>
          <w:lang w:eastAsia="fr-FR"/>
        </w:rPr>
        <w:t>Date :</w:t>
      </w:r>
      <w:r w:rsidRPr="005C1C79">
        <w:rPr>
          <w:rFonts w:ascii="Calibri" w:eastAsia="Times New Roman" w:hAnsi="Calibri" w:cs="Times New Roman"/>
          <w:lang w:eastAsia="fr-FR"/>
        </w:rPr>
        <w:tab/>
      </w:r>
      <w:r w:rsidRPr="005C1C79">
        <w:rPr>
          <w:rFonts w:ascii="Calibri" w:eastAsia="Times New Roman" w:hAnsi="Calibri" w:cs="Times New Roman"/>
          <w:lang w:eastAsia="fr-FR"/>
        </w:rPr>
        <w:tab/>
      </w:r>
      <w:r w:rsidRPr="005C1C79">
        <w:rPr>
          <w:rFonts w:ascii="Calibri" w:eastAsia="Times New Roman" w:hAnsi="Calibri" w:cs="Times New Roman"/>
          <w:lang w:eastAsia="fr-FR"/>
        </w:rPr>
        <w:tab/>
      </w:r>
      <w:r w:rsidRPr="005C1C79">
        <w:rPr>
          <w:rFonts w:ascii="Calibri" w:eastAsia="Times New Roman" w:hAnsi="Calibri" w:cs="Times New Roman"/>
          <w:lang w:eastAsia="fr-FR"/>
        </w:rPr>
        <w:tab/>
      </w:r>
      <w:r w:rsidRPr="005C1C79">
        <w:rPr>
          <w:rFonts w:ascii="Calibri" w:eastAsia="Times New Roman" w:hAnsi="Calibri" w:cs="Times New Roman"/>
          <w:lang w:eastAsia="fr-FR"/>
        </w:rPr>
        <w:tab/>
      </w:r>
      <w:r w:rsidRPr="005C1C79">
        <w:rPr>
          <w:rFonts w:ascii="Calibri" w:eastAsia="Times New Roman" w:hAnsi="Calibri" w:cs="Times New Roman"/>
          <w:lang w:eastAsia="fr-FR"/>
        </w:rPr>
        <w:tab/>
        <w:t>Signature</w:t>
      </w:r>
    </w:p>
    <w:p w:rsidR="00665E4B" w:rsidRDefault="00665E4B"/>
    <w:sectPr w:rsidR="00665E4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2"/>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C1C79"/>
    <w:rsid w:val="004D0824"/>
    <w:rsid w:val="005C1C79"/>
    <w:rsid w:val="00665E4B"/>
    <w:rsid w:val="00742004"/>
    <w:rsid w:val="00F65D2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7BEBD7"/>
  <w15:chartTrackingRefBased/>
  <w15:docId w15:val="{2E85FBDF-ACF7-43C9-B04A-94BF5F1F0A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506</Words>
  <Characters>2785</Characters>
  <Application>Microsoft Office Word</Application>
  <DocSecurity>0</DocSecurity>
  <Lines>23</Lines>
  <Paragraphs>6</Paragraphs>
  <ScaleCrop>false</ScaleCrop>
  <Company/>
  <LinksUpToDate>false</LinksUpToDate>
  <CharactersWithSpaces>3285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Service Achats</dc:creator>
  <cp:keywords/>
  <dc:description/>
  <cp:lastModifiedBy>Service Achats</cp:lastModifiedBy>
  <cp:revision>2</cp:revision>
  <dcterms:created xsi:type="dcterms:W3CDTF">2019-08-29T12:57:00Z</dcterms:created>
  <dcterms:modified xsi:type="dcterms:W3CDTF">2020-07-08T06:44:00Z</dcterms:modified>
</cp:coreProperties>
</file>