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智能电商客服平台 V1 构建与数据流审查</w:t>
      </w:r>
    </w:p>
    <w:p>
      <w:r>
        <w:rPr>
          <w:rFonts w:ascii="Microsoft YaHei" w:hAnsi="Microsoft YaHei" w:eastAsia="Microsoft YaHei"/>
          <w:sz w:val="21"/>
        </w:rPr>
        <w:t>V1 建设三端统一的电商客服平台，以 KF RAG 为内部知识核心，以领域服务管理订单、物流、售后和人工工单，在局域网完成服务、反馈、评测和知识发布闭环。</w:t>
      </w:r>
    </w:p>
    <w:p>
      <w:r>
        <w:rPr>
          <w:rFonts w:ascii="Microsoft YaHei" w:hAnsi="Microsoft YaHei" w:eastAsia="Microsoft YaHei"/>
          <w:sz w:val="19"/>
        </w:rPr>
        <w:t>截至 2026 年 9 月 5 日：M00.1 至 M00.3 已完成，当前为环境、目录和治理骨架。以下为待建设的 V1 目标架构；Agent 在 V2，知识图谱在 V3，RAG 进阶安排于 V1.5。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565392" cy="6363381"/>
            <wp:docPr id="1" name="Picture 1" descr="客户、客服和管理员通过局域网入口及网关访问各域；会话进入确定性编排，分流到商务、KF知识或人工工单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总体架构与在线数据流_pri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6363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sz w:val="19"/>
        </w:rPr>
        <w:t>图示从一个入口逐层展开，横向仅保留条件分支。网页提供完整纵向长图和图 4 管理操作；Word 保留精简主干。部署仍采用 Vue 三端、FastAPI 业务后端、独立 Knowledge 与 Worker，仅 Nginx 对局域网开放。</w:t>
      </w:r>
    </w:p>
    <w:p>
      <w:pPr>
        <w:pStyle w:val="Heading1"/>
        <w:pageBreakBefore/>
        <w:spacing w:before="0"/>
      </w:pPr>
      <w:r>
        <w:t>节点职责与数据交接</w:t>
      </w:r>
    </w:p>
    <w:p>
      <w:r>
        <w:rPr>
          <w:rFonts w:ascii="Microsoft YaHei" w:hAnsi="Microsoft YaHei" w:eastAsia="Microsoft YaHei"/>
          <w:sz w:val="21"/>
        </w:rPr>
        <w:t>所有跨域调用携带服务端验证的 tenant_id、actor_id、request_id 和 trace_id。会话链另带 conversation_id、message_id、run_id；写请求另带幂等键和目标状态版本。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1584"/>
            <w:shd w:fill="DCEAF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节点</w:t>
            </w:r>
          </w:p>
        </w:tc>
        <w:tc>
          <w:tcPr>
            <w:tcW w:type="dxa" w:w="4320"/>
            <w:shd w:fill="DCEAF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输入与处理</w:t>
            </w:r>
          </w:p>
        </w:tc>
        <w:tc>
          <w:tcPr>
            <w:tcW w:type="dxa" w:w="4464"/>
            <w:shd w:fill="DCEAF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输出与拥有的数据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N1 入口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接收 HTTPS 和流式连接；分发页面与 API。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结果回客户端；不保存业务事实。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N2 网关与 IAM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校验令牌、租户、角色与限流；IAM 为共享权限子模块。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可信身份上下文；IAM 拥有用户、租户、角色与权限表。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N3 会话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A3 幂等保存问题；A4 送历史摘要和流程状态引用给 N4。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拥有消息、附件元数据与反馈；附件原件在 MinIO；流式回传 token/end。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N4 编排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人工与风险优先；恢复流程、澄清槽位；A5 调用各领域。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拥有运行记录、路由决策、工作流实例；返回回复、决策理由和流程状态。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N5 商务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A5 对话或 A6 页面直达；校验归属与状态。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拥有商品、订单、物流、发票和售后表；返回业务事实或申请结果。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N6 知识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A5 知识问答；A7 管理上传、评测与发布。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返回答案、引用、版本；拥有知识 MySQL、MinIO 原文和 Milvus 索引。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N7 工单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A5 转人工或 A8 客服操作；接单至关闭。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拥有工单、内部备注、纠错；客户回复经事件送 N3，内部备注不外发。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N8 Worker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消费 Outbox/Streams；解析、索引、摘要、评测。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调用责任域保存结果；event_id 去重、重试与任务状态回写。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N9 观测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接收脱敏日志、耗时、指标与 trace。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 trace_id 查全链路；业务审计由各责任域保存。</w:t>
            </w:r>
          </w:p>
        </w:tc>
      </w:tr>
    </w:tbl>
    <w:p>
      <w:pPr>
        <w:spacing w:after="0"/>
      </w:pPr>
    </w:p>
    <w:p>
      <w:pPr>
        <w:pStyle w:val="Heading1"/>
      </w:pPr>
      <w:r>
        <w:t>返回链路与一致性</w:t>
      </w:r>
    </w:p>
    <w:p>
      <w:r>
        <w:rPr>
          <w:rFonts w:ascii="Microsoft YaHei" w:hAnsi="Microsoft YaHei" w:eastAsia="Microsoft YaHei"/>
        </w:rPr>
        <w:t>A5 结果 → N4 → N3 → Gateway → Nginx → 客户端。N3 落最终消息后才发完成事件；A6/A7/A8 页面操作直接返回所属页面，异步结果通过任务查询或事件更新。</w:t>
      </w:r>
    </w:p>
    <w:p>
      <w:r>
        <w:rPr>
          <w:rFonts w:ascii="Microsoft YaHei" w:hAnsi="Microsoft YaHei" w:eastAsia="Microsoft YaHei"/>
        </w:rPr>
        <w:t>N4 编排状态与 N5 售后状态以 workflow_id、business_id 关联。单域事实与 Outbox 同事务；跨域采用幂等命令、事件确认和对账。ERP、支付、物流的输入经 N5 适配器校验后落库，返回同步状态。</w:t>
      </w:r>
    </w:p>
    <w:p>
      <w:r>
        <w:rPr>
          <w:rFonts w:ascii="Microsoft YaHei" w:hAnsi="Microsoft YaHei" w:eastAsia="Microsoft YaHei"/>
          <w:sz w:val="20"/>
        </w:rPr>
        <w:t>MySQL 为事实源；Redis 为缓存和队列；MinIO 存原文/附件；Milvus 存索引。etcd 仅服务 Milvus 元数据，其内部对象与业务文件隔离。各服务只写自有表。</w:t>
      </w:r>
    </w:p>
    <w:p>
      <w:pPr>
        <w:pStyle w:val="Heading1"/>
        <w:pageBreakBefore/>
        <w:spacing w:before="0"/>
      </w:pPr>
      <w:r>
        <w:t>KF RAG 核心链路与平台边界</w:t>
      </w:r>
    </w:p>
    <w:p>
      <w:r>
        <w:rPr>
          <w:rFonts w:ascii="Microsoft YaHei" w:hAnsi="Microsoft YaHei" w:eastAsia="Microsoft YaHei"/>
        </w:rPr>
        <w:t>按 KF 源码保留 Stage 0 至 7、FAQ 直出与不足证据分支。新平台在知识门面校验作用域，并将平台会话映射到 KF 会话；客户端传入的租户、角色和版本不能直接作为授权依据。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565392" cy="6464387"/>
            <wp:docPr id="2" name="Picture 2" descr="KF Stage0至7顺序及直答、FAQ标准答案直出、无证据提示分支；查询通过Embedding与Milvus召回，按计划重排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KF核心检索链路_pri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6464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sz w:val="20"/>
        </w:rPr>
        <w:t>平台业务路由决定查订单、问政策或转人工；KF 内部路由只决定知识回答方式。混合问题由 N4 分别取业务事实与政策证据后组合，金额、库存和状态以 N5 返回值为准。</w:t>
      </w:r>
    </w:p>
    <w:p>
      <w:r>
        <w:rPr>
          <w:rFonts w:ascii="Microsoft YaHei" w:hAnsi="Microsoft YaHei" w:eastAsia="Microsoft YaHei"/>
          <w:sz w:val="19"/>
        </w:rPr>
        <w:t>模型输入只包含必要的脱敏问题、历史和授权证据。Embedding 接收查询或知识片段，Reranker 接收查询与候选，LLM 接收 Prompt 和证据；本地或受控外部模型出口在部署时配置。KF 引用补齐不等于事实已被证明，最终答案仍需评测。</w:t>
      </w:r>
    </w:p>
    <w:p>
      <w:pPr>
        <w:pStyle w:val="Heading1"/>
        <w:pageBreakBefore/>
        <w:spacing w:before="0"/>
      </w:pPr>
      <w:r>
        <w:t>知识入库与数据闭环</w:t>
      </w:r>
    </w:p>
    <w:p>
      <w:r>
        <w:rPr>
          <w:rFonts w:ascii="Microsoft YaHei" w:hAnsi="Microsoft YaHei" w:eastAsia="Microsoft YaHei"/>
        </w:rPr>
        <w:t>闭环验收要能从一次用户评价追溯到原始回答、路由、引用版本和业务结果，再追溯到修订、评测、发布与下一次回答。只有收集聊天日志尚不足以完成闭环。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565392" cy="6464387"/>
            <wp:docPr id="3" name="Picture 3" descr="知识上传、存储、可靠投递、解析索引、评测审核、版本发布以及评价纠错回到责任域改进的完整闭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知识入库与数据闭环_pri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6464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sz w:val="20"/>
        </w:rPr>
        <w:t>闭环关联字段：tenant_id、conversation_id、message_id、run_id；关联 order_id、after_sales_id、ticket_id、kb_version、document_id、chunk_id、evaluation_run_id 和 release_id。建议 Bad Case 由 N6 外层治理子模块保存，不改 KF 核心；字段和归属由后续契约固定。</w:t>
      </w:r>
    </w:p>
    <w:p>
      <w:r>
        <w:rPr>
          <w:rFonts w:ascii="Microsoft YaHei" w:hAnsi="Microsoft YaHei" w:eastAsia="Microsoft YaHei"/>
          <w:sz w:val="20"/>
        </w:rPr>
        <w:t>删除或撤销授权先更新可见性并过滤查询，再异步清理索引和缓存；引用访问也重新鉴权。每次问答固定一个知识版本，避免中途切换。客户看到的正式会话归 N3，KF 历史只服务知识推理与诊断。</w:t>
      </w:r>
    </w:p>
    <w:p>
      <w:pPr>
        <w:pStyle w:val="Heading1"/>
        <w:pageBreakBefore/>
        <w:spacing w:before="0"/>
      </w:pPr>
      <w:r>
        <w:t>V1 构建顺序与验收重点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1627"/>
            <w:shd w:fill="DCEAF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3528"/>
            <w:shd w:fill="DCEAF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构建内容</w:t>
            </w:r>
          </w:p>
        </w:tc>
        <w:tc>
          <w:tcPr>
            <w:tcW w:type="dxa" w:w="5213"/>
            <w:shd w:fill="DCEAF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可检查的阶段结果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M00</w:t>
            </w:r>
          </w:p>
        </w:tc>
        <w:tc>
          <w:tcPr>
            <w:tcW w:type="dxa" w:w="35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基线、目录、治理、CI</w:t>
            </w:r>
          </w:p>
        </w:tc>
        <w:tc>
          <w:tcPr>
            <w:tcW w:type="dxa" w:w="521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M00.1 至 M00.3 完成；M00.4 CI 待建。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M01 至 M03</w:t>
            </w:r>
          </w:p>
        </w:tc>
        <w:tc>
          <w:tcPr>
            <w:tcW w:type="dxa" w:w="35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基础设施、后端契约、身份权限</w:t>
            </w:r>
          </w:p>
        </w:tc>
        <w:tc>
          <w:tcPr>
            <w:tcW w:type="dxa" w:w="521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存储可重启恢复，统一接口与审计，三角色越权测试。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M04 至 M08</w:t>
            </w:r>
          </w:p>
        </w:tc>
        <w:tc>
          <w:tcPr>
            <w:tcW w:type="dxa" w:w="35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商务事实、会话、状态机与路由</w:t>
            </w:r>
          </w:p>
        </w:tc>
        <w:tc>
          <w:tcPr>
            <w:tcW w:type="dxa" w:w="521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查询可追溯，流程可恢复，混合问题可分流。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M09 至 M10</w:t>
            </w:r>
          </w:p>
        </w:tc>
        <w:tc>
          <w:tcPr>
            <w:tcW w:type="dxa" w:w="35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KF 核心封装、电商知识体系</w:t>
            </w:r>
          </w:p>
        </w:tc>
        <w:tc>
          <w:tcPr>
            <w:tcW w:type="dxa" w:w="521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保留核心链路；可入库、引用、评测、发布和回滚。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M11 至 M13</w:t>
            </w:r>
          </w:p>
        </w:tc>
        <w:tc>
          <w:tcPr>
            <w:tcW w:type="dxa" w:w="35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售后申请、工单、反馈评测</w:t>
            </w:r>
          </w:p>
        </w:tc>
        <w:tc>
          <w:tcPr>
            <w:tcW w:type="dxa" w:w="521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申请确认与人工处理闭环；差评可定位并复测。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M14 至 M16</w:t>
            </w:r>
          </w:p>
        </w:tc>
        <w:tc>
          <w:tcPr>
            <w:tcW w:type="dxa" w:w="35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客户、客服、管理三端</w:t>
            </w:r>
          </w:p>
        </w:tc>
        <w:tc>
          <w:tcPr>
            <w:tcW w:type="dxa" w:w="521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三类角色通过统一入口完成各自业务。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M17 至 M18</w:t>
            </w:r>
          </w:p>
        </w:tc>
        <w:tc>
          <w:tcPr>
            <w:tcW w:type="dxa" w:w="35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故障演练、部署与正式验收</w:t>
            </w:r>
          </w:p>
        </w:tc>
        <w:tc>
          <w:tcPr>
            <w:tcW w:type="dxa" w:w="521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局域网端到端通过，备份恢复可演示。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sz w:val="20"/>
        </w:rPr>
        <w:t>每个子任务依次完成实现、必要测试、注释与文档同步、原子提交和 GitHub 推送，再进入下一任务。V1 完成后才进入 V1.5 检索优化、V2 Agent 和 V3 知识图谱。</w:t>
      </w:r>
    </w:p>
    <w:p>
      <w:pPr>
        <w:pStyle w:val="Heading1"/>
      </w:pPr>
      <w:r>
        <w:t>业务覆盖与故障结果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189"/>
            <w:shd w:fill="DCEAF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需审查的情况</w:t>
            </w:r>
          </w:p>
        </w:tc>
        <w:tc>
          <w:tcPr>
            <w:tcW w:type="dxa" w:w="8179"/>
            <w:shd w:fill="DCEAF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V1 必须给出的确定结果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售前与事实查询</w:t>
            </w:r>
          </w:p>
        </w:tc>
        <w:tc>
          <w:tcPr>
            <w:tcW w:type="dxa" w:w="81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覆盖商品/SKU/活动、订单支付摘要、发票及多包裹物流；标明数据更新时间。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售后与敏感写入</w:t>
            </w:r>
          </w:p>
        </w:tc>
        <w:tc>
          <w:tcPr>
            <w:tcW w:type="dxa" w:w="81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退款、退换修、补发、价保和取消申请进入预检、补证、确认、工单；不自动执行资金动作。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转人工与对话中断</w:t>
            </w:r>
          </w:p>
        </w:tc>
        <w:tc>
          <w:tcPr>
            <w:tcW w:type="dxa" w:w="81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人工/高风险抢占流程；接管后暂停自动回复；支持取消、改问、信息不足澄清。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重复与并发</w:t>
            </w:r>
          </w:p>
        </w:tc>
        <w:tc>
          <w:tcPr>
            <w:tcW w:type="dxa" w:w="81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幂等键防重复单；状态版本防覆盖；event_id 防重复消费。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断流与依赖故障</w:t>
            </w:r>
          </w:p>
        </w:tc>
        <w:tc>
          <w:tcPr>
            <w:tcW w:type="dxa" w:w="81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消息保留处理中/失败状态；重连恢复；RAG 无证据或超时提示原因，可查询业务或转人工。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数据库或任务失败</w:t>
            </w:r>
          </w:p>
        </w:tc>
        <w:tc>
          <w:tcPr>
            <w:tcW w:type="dxa" w:w="81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事实写入失败不能报成功；任务重试、死信和对账可查；重启后恢复未完流程。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知识隔离与版本</w:t>
            </w:r>
          </w:p>
        </w:tc>
        <w:tc>
          <w:tcPr>
            <w:tcW w:type="dxa" w:w="81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跨租户、越权文档和草稿不可见；无证据不编造；新版本失败可回滚。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sz w:val="19"/>
        </w:rPr>
        <w:t>范围口径：V1 是电商客服业务平台，交易侧以查询、申请和受控流程为主。ERP、支付、物流等经 N5 适配层导入或查询；局域网演示数据须标识来源，真实渠道接入单独验收。</w:t>
      </w:r>
    </w:p>
    <w:p>
      <w:r>
        <w:rPr>
          <w:rFonts w:ascii="Microsoft YaHei" w:hAnsi="Microsoft YaHei" w:eastAsia="Microsoft YaHei"/>
          <w:sz w:val="17"/>
        </w:rPr>
        <w:t>审查依据：仓库 HEAD 55225c9；docs/baseline 的 V1 架构和总控任务清单；docs/architecture/module-boundaries.md；ADR-0001；KF 的 qa_core/application/service.py、pipeline/rag.py、retrieval_steps.py。原始项目与 KF 参考文件保持原样。</w:t>
      </w:r>
    </w:p>
    <w:sectPr w:rsidR="00FC693F" w:rsidRPr="0006063C" w:rsidSect="00034616">
      <w:footerReference w:type="default" r:id="rId9"/>
      <w:pgSz w:w="12240" w:h="15840"/>
      <w:pgMar w:top="864" w:right="936" w:bottom="835" w:left="936" w:header="72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97782"/>
        <w:sz w:val="16"/>
      </w:rPr>
      <w:t xml:space="preserve">V1 架构审查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智能电商客服平台 V1 构建与数据流审查</dc:title>
  <dc:subject>V1 目标架构 节点职责 数据流向 构建顺序</dc:subject>
  <dc:creator>项目团队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