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 Data Environment and Data Purchase API Guide</w:t>
      </w:r>
    </w:p>
    <w:p>
      <w:pPr>
        <w:jc w:val="center"/>
      </w:pPr>
      <w:r>
        <w:rPr>
          <w:i/>
        </w:rPr>
        <w:t>Generated: 2026-04-25 06:04)</w:t>
      </w:r>
    </w:p>
    <w:p>
      <w:r>
        <w:rPr>
          <w:b/>
        </w:rPr>
        <w:t xml:space="preserve">Scope: </w:t>
      </w:r>
      <w:r>
        <w:t>This document explains the environment variables used by the current SY Data app, summarizes the legacy Neon database migration, and documents the data purchase API flow implemented in the new codebase.</w:t>
      </w:r>
    </w:p>
    <w:p>
      <w:pPr>
        <w:pStyle w:val="Heading1"/>
      </w:pPr>
      <w:r>
        <w:t>1. Migration Summary</w:t>
      </w:r>
    </w:p>
    <w:p>
      <w:pPr>
        <w:pStyle w:val="ListBullet"/>
      </w:pPr>
      <w:r>
        <w:t>Legacy Neon schema found: users, plans, transactions, virtual_accounts, rewards, user_rewards, service_notices.</w:t>
      </w:r>
    </w:p>
    <w:p>
      <w:pPr>
        <w:pStyle w:val="ListBullet"/>
      </w:pPr>
      <w:r>
        <w:t>New app schema created alongside the old tables: User, DataPlan, DataTransaction, Transaction, UserReservedAccount, airtime_transactions, cable_plans, power_plans, cable_transactions, power_transactions, BroadcastMessage, BroadcastDismissal.</w:t>
      </w:r>
    </w:p>
    <w:p>
      <w:pPr>
        <w:pStyle w:val="ListBullet"/>
      </w:pPr>
      <w:r>
        <w:t>Migrated counts: 33 users, 20 data plans, 661 data purchase records, 105 deposit or reward ledger entries, 28 airtime records, and 33 reserved accounts.</w:t>
      </w:r>
    </w:p>
    <w:p>
      <w:pPr>
        <w:pStyle w:val="ListBullet"/>
      </w:pPr>
      <w:r>
        <w:t>Verification checks passed: no missing PIN hashes in migrated users and no orphan DataTransaction rows.</w:t>
      </w:r>
    </w:p>
    <w:p>
      <w:pPr>
        <w:pStyle w:val="ListBullet"/>
      </w:pPr>
      <w:r>
        <w:t>Important: no ADMIN user existed in the old database. The migrated database currently contains USER and AGENT roles only. Promote one account to ADMIN before using the new admin dashboard.</w:t>
      </w:r>
    </w:p>
    <w:p>
      <w:pPr>
        <w:pStyle w:val="Heading1"/>
      </w:pPr>
      <w:r>
        <w:t>2. Environment Variables</w:t>
      </w:r>
    </w:p>
    <w:p>
      <w:r>
        <w:rPr>
          <w:b/>
        </w:rPr>
        <w:t>DATABASE_URL</w:t>
      </w:r>
      <w:r>
        <w:t xml:space="preserve"> [Required] - Primary PostgreSQL connection string used by lib/db.ts and the migration or seed scripts.</w:t>
      </w:r>
    </w:p>
    <w:p>
      <w:r>
        <w:rPr>
          <w:b/>
        </w:rPr>
        <w:t>JWT_SECRET</w:t>
      </w:r>
      <w:r>
        <w:t xml:space="preserve"> [Required] - Signing secret for auth_token JWT creation and verification. Use a long random string and keep it stable across deployments.</w:t>
      </w:r>
    </w:p>
    <w:p>
      <w:r>
        <w:rPr>
          <w:b/>
        </w:rPr>
        <w:t>NEXT_PUBLIC_APP_URL</w:t>
      </w:r>
      <w:r>
        <w:t xml:space="preserve"> [Recommended] - Public site base URL used for metadataBase, Open Graph URLs, and canonical branding links.</w:t>
      </w:r>
    </w:p>
    <w:p>
      <w:r>
        <w:rPr>
          <w:b/>
        </w:rPr>
        <w:t>FLUTTERWAVE_SECRET_KEY</w:t>
      </w:r>
      <w:r>
        <w:t xml:space="preserve"> [Required for wallet funding] - Server-side secret used to create and verify Flutterwave virtual account and webhook events.</w:t>
      </w:r>
    </w:p>
    <w:p>
      <w:r>
        <w:rPr>
          <w:b/>
        </w:rPr>
        <w:t>FLUTTERWAVE_BASE_URL</w:t>
      </w:r>
      <w:r>
        <w:t xml:space="preserve"> [Optional] - Overrides the default Flutterwave API base URL. Defaults to https://api.flutterwave.com/v3.</w:t>
      </w:r>
    </w:p>
    <w:p>
      <w:r>
        <w:rPr>
          <w:b/>
        </w:rPr>
        <w:t>FLUTTERWAVE_WEBHOOK_HASH</w:t>
      </w:r>
      <w:r>
        <w:t xml:space="preserve"> [Recommended for production] - Primary webhook signature header value checked by /api/webhooks/flutterwave.</w:t>
      </w:r>
    </w:p>
    <w:p>
      <w:r>
        <w:rPr>
          <w:b/>
        </w:rPr>
        <w:t>FLUTTERWAVE_WEBHOOK_SECRET</w:t>
      </w:r>
      <w:r>
        <w:t xml:space="preserve"> [Optional fallback] - Fallback secret checked if FLUTTERWAVE_WEBHOOK_HASH is not set.</w:t>
      </w:r>
    </w:p>
    <w:p>
      <w:r>
        <w:rPr>
          <w:b/>
        </w:rPr>
        <w:t>MY_BVN</w:t>
      </w:r>
      <w:r>
        <w:t xml:space="preserve"> [Required for virtual account creation] - BVN sent when creating permanent Flutterwave virtual accounts in signup and /api/accounts.</w:t>
      </w:r>
    </w:p>
    <w:p>
      <w:r>
        <w:rPr>
          <w:b/>
        </w:rPr>
        <w:t>my_bvn</w:t>
      </w:r>
      <w:r>
        <w:t xml:space="preserve"> [Optional fallback] - Lowercase fallback accepted by the code if MY_BVN is not set.</w:t>
      </w:r>
    </w:p>
    <w:p>
      <w:r>
        <w:rPr>
          <w:b/>
        </w:rPr>
        <w:t>FLW_BVN</w:t>
      </w:r>
      <w:r>
        <w:t xml:space="preserve"> [Optional fallback] - Third fallback BVN variable accepted by the code.</w:t>
      </w:r>
    </w:p>
    <w:p>
      <w:r>
        <w:rPr>
          <w:b/>
        </w:rPr>
        <w:t>AMIGO_BASE_URL</w:t>
      </w:r>
      <w:r>
        <w:t xml:space="preserve"> [Required for data Provider A] - Base URL for Provider A data purchase requests when a DataPlan uses activeApi A.</w:t>
      </w:r>
    </w:p>
    <w:p>
      <w:r>
        <w:rPr>
          <w:b/>
        </w:rPr>
        <w:t>AMIGO_TOKEN</w:t>
      </w:r>
      <w:r>
        <w:t xml:space="preserve"> [Required for data Provider A] - X-API-Key value used for Provider A requests.</w:t>
      </w:r>
    </w:p>
    <w:p>
      <w:r>
        <w:rPr>
          <w:b/>
        </w:rPr>
        <w:t>PROVIDER_B_BASE_URL</w:t>
      </w:r>
      <w:r>
        <w:t xml:space="preserve"> [Required for Provider B flows] - Base URL used by data activeApi B, airtime purchases, cable purchases, and power purchases.</w:t>
      </w:r>
    </w:p>
    <w:p>
      <w:r>
        <w:rPr>
          <w:b/>
        </w:rPr>
        <w:t>PROVIDER_B_TOKEN</w:t>
      </w:r>
      <w:r>
        <w:t xml:space="preserve"> [Required for Provider B flows] - Bearer token used for Provider B data, airtime, cable, and power requests.</w:t>
      </w:r>
    </w:p>
    <w:p>
      <w:r>
        <w:rPr>
          <w:b/>
        </w:rPr>
        <w:t>PROVIDER_C_BASE_URL</w:t>
      </w:r>
      <w:r>
        <w:t xml:space="preserve"> [Required for data Provider C] - Base URL used when a DataPlan has activeApi C.</w:t>
      </w:r>
    </w:p>
    <w:p>
      <w:r>
        <w:rPr>
          <w:b/>
        </w:rPr>
        <w:t>PROVIDER_C_TOKEN</w:t>
      </w:r>
      <w:r>
        <w:t xml:space="preserve"> [Required for data Provider C] - Bearer token used for Provider C data requests.</w:t>
      </w:r>
    </w:p>
    <w:p>
      <w:r>
        <w:rPr>
          <w:b/>
        </w:rPr>
        <w:t>ADMIN_PASSWORD</w:t>
      </w:r>
      <w:r>
        <w:t xml:space="preserve"> [Legacy optional] - Checked only by lib/adminGuard.ts as an alternate admin header mechanism. The current /api/admin/auth route still requires an authenticated ADMIN user role, so ADMIN_PASSWORD alone is not enough to unlock the admin UI.</w:t>
      </w:r>
    </w:p>
    <w:p>
      <w:r>
        <w:rPr>
          <w:b/>
        </w:rPr>
        <w:t>NODE_ENV</w:t>
      </w:r>
      <w:r>
        <w:t xml:space="preserve"> [Runtime standard] - Used for cookie security and development-only logging branches.</w:t>
      </w:r>
    </w:p>
    <w:p>
      <w:pPr>
        <w:pStyle w:val="Heading1"/>
      </w:pPr>
      <w:r>
        <w:t>3. Data Purchase API Flow</w:t>
      </w:r>
    </w:p>
    <w:p>
      <w:r>
        <w:rPr>
          <w:b/>
        </w:rPr>
        <w:t xml:space="preserve">Authentication model: </w:t>
      </w:r>
      <w:r>
        <w:t>Protected routes use the auth_token cookie or a Bearer token. The payload is verified with JWT_SECRET and resolves to a User record in the new database.</w:t>
      </w:r>
    </w:p>
    <w:p>
      <w:r>
        <w:rPr>
          <w:b/>
        </w:rPr>
        <w:t>GET /api/data/networks</w:t>
      </w:r>
    </w:p>
    <w:p>
      <w:pPr>
        <w:pStyle w:val="ListBullet"/>
      </w:pPr>
      <w:r>
        <w:rPr>
          <w:b/>
        </w:rPr>
        <w:t xml:space="preserve">Purpose: </w:t>
      </w:r>
      <w:r>
        <w:t>Returns the fixed list of supported networks for the UI.</w:t>
      </w:r>
    </w:p>
    <w:p>
      <w:pPr>
        <w:pStyle w:val="ListBullet"/>
      </w:pPr>
      <w:r>
        <w:rPr>
          <w:b/>
        </w:rPr>
        <w:t xml:space="preserve">Auth: </w:t>
      </w:r>
      <w:r>
        <w:t>No auth required.</w:t>
      </w:r>
    </w:p>
    <w:p>
      <w:pPr>
        <w:pStyle w:val="ListBullet"/>
      </w:pPr>
      <w:r>
        <w:rPr>
          <w:b/>
        </w:rPr>
        <w:t xml:space="preserve">Inputs: </w:t>
      </w:r>
      <w:r>
        <w:t>No body. No required query params.</w:t>
      </w:r>
    </w:p>
    <w:p>
      <w:pPr>
        <w:pStyle w:val="ListBullet"/>
      </w:pPr>
      <w:r>
        <w:rPr>
          <w:b/>
        </w:rPr>
        <w:t xml:space="preserve">Returns: </w:t>
      </w:r>
      <w:r>
        <w:t>Array of { id, name, logo } where ids are 1=MTN, 2=Glo, 3=9mobile, 4=Airtel.</w:t>
      </w:r>
    </w:p>
    <w:p>
      <w:pPr>
        <w:pStyle w:val="ListBullet"/>
      </w:pPr>
      <w:r>
        <w:rPr>
          <w:b/>
        </w:rPr>
        <w:t xml:space="preserve">Notes: </w:t>
      </w:r>
      <w:r>
        <w:t>Static route data. Used by the purchase UI before plan selection.</w:t>
      </w:r>
    </w:p>
    <w:p>
      <w:r>
        <w:rPr>
          <w:b/>
        </w:rPr>
        <w:t>GET /api/data/plans?networkId=&lt;id&gt;</w:t>
      </w:r>
    </w:p>
    <w:p>
      <w:pPr>
        <w:pStyle w:val="ListBullet"/>
      </w:pPr>
      <w:r>
        <w:rPr>
          <w:b/>
        </w:rPr>
        <w:t xml:space="preserve">Purpose: </w:t>
      </w:r>
      <w:r>
        <w:t>Returns active DataPlan rows and applies role-based pricing.</w:t>
      </w:r>
    </w:p>
    <w:p>
      <w:pPr>
        <w:pStyle w:val="ListBullet"/>
      </w:pPr>
      <w:r>
        <w:rPr>
          <w:b/>
        </w:rPr>
        <w:t xml:space="preserve">Auth: </w:t>
      </w:r>
      <w:r>
        <w:t>Optional session. If authenticated as AGENT, the route serves agentPrice when available; otherwise it serves the regular price.</w:t>
      </w:r>
    </w:p>
    <w:p>
      <w:pPr>
        <w:pStyle w:val="ListBullet"/>
      </w:pPr>
      <w:r>
        <w:rPr>
          <w:b/>
        </w:rPr>
        <w:t xml:space="preserve">Inputs: </w:t>
      </w:r>
      <w:r>
        <w:t>Optional networkId query string.</w:t>
      </w:r>
    </w:p>
    <w:p>
      <w:pPr>
        <w:pStyle w:val="ListBullet"/>
      </w:pPr>
      <w:r>
        <w:rPr>
          <w:b/>
        </w:rPr>
        <w:t xml:space="preserve">Returns: </w:t>
      </w:r>
      <w:r>
        <w:t>Active plans with id, name, networkId, networkName, sizeLabel, validity, and role-adjusted price.</w:t>
      </w:r>
    </w:p>
    <w:p>
      <w:pPr>
        <w:pStyle w:val="ListBullet"/>
      </w:pPr>
      <w:r>
        <w:rPr>
          <w:b/>
        </w:rPr>
        <w:t xml:space="preserve">Notes: </w:t>
      </w:r>
      <w:r>
        <w:t>Validity values are normalized into daily, weekly, monthly, or a lowercase fallback string.</w:t>
      </w:r>
    </w:p>
    <w:p>
      <w:r>
        <w:rPr>
          <w:b/>
        </w:rPr>
        <w:t>POST /api/data/validate-pin</w:t>
      </w:r>
    </w:p>
    <w:p>
      <w:pPr>
        <w:pStyle w:val="ListBullet"/>
      </w:pPr>
      <w:r>
        <w:rPr>
          <w:b/>
        </w:rPr>
        <w:t xml:space="preserve">Purpose: </w:t>
      </w:r>
      <w:r>
        <w:t>Confirms the logged-in user PIN before sensitive purchase actions.</w:t>
      </w:r>
    </w:p>
    <w:p>
      <w:pPr>
        <w:pStyle w:val="ListBullet"/>
      </w:pPr>
      <w:r>
        <w:rPr>
          <w:b/>
        </w:rPr>
        <w:t xml:space="preserve">Auth: </w:t>
      </w:r>
      <w:r>
        <w:t>Required.</w:t>
      </w:r>
    </w:p>
    <w:p>
      <w:pPr>
        <w:pStyle w:val="ListBullet"/>
      </w:pPr>
      <w:r>
        <w:rPr>
          <w:b/>
        </w:rPr>
        <w:t xml:space="preserve">Inputs: </w:t>
      </w:r>
      <w:r>
        <w:t>JSON body: { pin }</w:t>
      </w:r>
    </w:p>
    <w:p>
      <w:pPr>
        <w:pStyle w:val="ListBullet"/>
      </w:pPr>
      <w:r>
        <w:rPr>
          <w:b/>
        </w:rPr>
        <w:t xml:space="preserve">Returns: </w:t>
      </w:r>
      <w:r>
        <w:t>200 with { message, valid: true } if bcrypt validation succeeds.</w:t>
      </w:r>
    </w:p>
    <w:p>
      <w:pPr>
        <w:pStyle w:val="ListBullet"/>
      </w:pPr>
      <w:r>
        <w:rPr>
          <w:b/>
        </w:rPr>
        <w:t xml:space="preserve">Notes: </w:t>
      </w:r>
      <w:r>
        <w:t>Returns 401 on wrong PIN, 400 if no PIN is set or missing from the request, and 404 if the user record is missing.</w:t>
      </w:r>
    </w:p>
    <w:p>
      <w:r>
        <w:rPr>
          <w:b/>
        </w:rPr>
        <w:t>POST /api/data/purchase</w:t>
      </w:r>
    </w:p>
    <w:p>
      <w:pPr>
        <w:pStyle w:val="ListBullet"/>
      </w:pPr>
      <w:r>
        <w:rPr>
          <w:b/>
        </w:rPr>
        <w:t xml:space="preserve">Purpose: </w:t>
      </w:r>
      <w:r>
        <w:t>Executes a data purchase, debits the wallet, calls the configured provider, and records the transaction.</w:t>
      </w:r>
    </w:p>
    <w:p>
      <w:pPr>
        <w:pStyle w:val="ListBullet"/>
      </w:pPr>
      <w:r>
        <w:rPr>
          <w:b/>
        </w:rPr>
        <w:t xml:space="preserve">Auth: </w:t>
      </w:r>
      <w:r>
        <w:t>Required.</w:t>
      </w:r>
    </w:p>
    <w:p>
      <w:pPr>
        <w:pStyle w:val="ListBullet"/>
      </w:pPr>
      <w:r>
        <w:rPr>
          <w:b/>
        </w:rPr>
        <w:t xml:space="preserve">Inputs: </w:t>
      </w:r>
      <w:r>
        <w:t>JSON body: { planId, phone, pin }</w:t>
      </w:r>
    </w:p>
    <w:p>
      <w:pPr>
        <w:pStyle w:val="ListBullet"/>
      </w:pPr>
      <w:r>
        <w:rPr>
          <w:b/>
        </w:rPr>
        <w:t xml:space="preserve">Returns: </w:t>
      </w:r>
      <w:r>
        <w:t>200 with transactionId, reference, plan, phone, amount, and newBalance on success.</w:t>
      </w:r>
    </w:p>
    <w:p>
      <w:pPr>
        <w:pStyle w:val="ListBullet"/>
      </w:pPr>
      <w:r>
        <w:rPr>
          <w:b/>
        </w:rPr>
        <w:t xml:space="preserve">Notes: </w:t>
      </w:r>
      <w:r>
        <w:t>Rate limited to 10 requests per minute per user. Uses agent pricing for AGENT users. Creates a PENDING DataTransaction, debits the wallet, then routes to Provider A, B, or C based on DataPlan.activeApi. On provider failure it marks the transaction FAILED and refunds the wallet.</w:t>
      </w:r>
    </w:p>
    <w:p>
      <w:pPr>
        <w:pStyle w:val="Heading1"/>
      </w:pPr>
      <w:r>
        <w:t>4. Provider Selection Rules for Data Purchase</w:t>
      </w:r>
    </w:p>
    <w:p>
      <w:pPr>
        <w:pStyle w:val="ListBullet"/>
      </w:pPr>
      <w:r>
        <w:t>Provider A is used when DataPlan.activeApi = A. It requires AMIGO_BASE_URL, AMIGO_TOKEN, and apiAId on the plan.</w:t>
      </w:r>
    </w:p>
    <w:p>
      <w:pPr>
        <w:pStyle w:val="ListBullet"/>
      </w:pPr>
      <w:r>
        <w:t>Provider B is used when DataPlan.activeApi = B. It requires PROVIDER_B_BASE_URL, PROVIDER_B_TOKEN, and apiBId on the plan.</w:t>
      </w:r>
    </w:p>
    <w:p>
      <w:pPr>
        <w:pStyle w:val="ListBullet"/>
      </w:pPr>
      <w:r>
        <w:t>Provider C is used when DataPlan.activeApi = C. It requires PROVIDER_C_BASE_URL, PROVIDER_C_TOKEN, and apiCId on the plan.</w:t>
      </w:r>
    </w:p>
    <w:p>
      <w:pPr>
        <w:pStyle w:val="ListBullet"/>
      </w:pPr>
      <w:r>
        <w:t>The migration mapped legacy plans into the new DataPlan table and preserved the old provider source in activeApi plus the external plan ID columns.</w:t>
      </w:r>
    </w:p>
    <w:p>
      <w:pPr>
        <w:pStyle w:val="Heading1"/>
      </w:pPr>
      <w:r>
        <w:t>5. Post-Migration Operational Notes</w:t>
      </w:r>
    </w:p>
    <w:p>
      <w:pPr>
        <w:pStyle w:val="ListBullet"/>
      </w:pPr>
      <w:r>
        <w:t>Existing users can log in with their old phone numbers and migrated bcrypt PIN hashes because the old pinHash values were copied into the new User.pin column.</w:t>
      </w:r>
    </w:p>
    <w:p>
      <w:pPr>
        <w:pStyle w:val="ListBullet"/>
      </w:pPr>
      <w:r>
        <w:t>Virtual account information was copied into both User account fields and UserReservedAccount rows so funding and account display logic can work immediately.</w:t>
      </w:r>
    </w:p>
    <w:p>
      <w:pPr>
        <w:pStyle w:val="ListBullet"/>
      </w:pPr>
      <w:r>
        <w:t>Legacy tables were left in place. The migration is additive so the old dataset remains available for audit or rollback reference.</w:t>
      </w:r>
    </w:p>
    <w:p>
      <w:pPr>
        <w:pStyle w:val="ListBullet"/>
      </w:pPr>
      <w:r>
        <w:t>If you want admin access, promote a selected user record in the new User table by setting role =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