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7d0acf2f884c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Адрес: г. Ростов-на-Дону, Большая Садовая ул., 78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Товарный чек № 1908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Мороженое с шоколадной крошкой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170,00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1 на сумму 170,00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170,00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175f83b359648e5" /><Relationship Type="http://schemas.openxmlformats.org/officeDocument/2006/relationships/numbering" Target="/word/numbering.xml" Id="Re6718ec8d1ff462e" /><Relationship Type="http://schemas.openxmlformats.org/officeDocument/2006/relationships/settings" Target="/word/settings.xml" Id="Rf16c9851403d4360" /></Relationships>
</file>