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i w:val="0"/>
          <w:color w:val="355F8E"/>
          <w:sz w:val="19"/>
        </w:rPr>
        <w:t>BLUE ARCHIPELAGO BERHAD • SETIU SHRIMP FARM (SETiU)</w:t>
        <w:br/>
      </w:r>
      <w:r>
        <w:rPr>
          <w:rFonts w:ascii="Calibri" w:hAnsi="Calibri"/>
          <w:b/>
          <w:i w:val="0"/>
          <w:color w:val="102C57"/>
          <w:sz w:val="38"/>
        </w:rPr>
        <w:t>EXECUTIVE BRIEFING: WATER QUALITY &amp; SHRIMP HARVEST OUTCOMES</w:t>
      </w:r>
    </w:p>
    <w:p>
      <w:pPr>
        <w:spacing w:before="80" w:after="280"/>
      </w:pPr>
      <w:r>
        <w:rPr>
          <w:rFonts w:ascii="Calibri" w:hAnsi="Calibri"/>
          <w:b w:val="0"/>
          <w:i/>
          <w:color w:val="6C757D"/>
          <w:sz w:val="19"/>
        </w:rPr>
        <w:t>Confidential Executive Report | Data Period: 2024 – 2026 Production Seasons | Sample Size: 1,117 Harvested Pond Cycles</w:t>
      </w:r>
    </w:p>
    <w:tbl>
      <w:tblPr>
        <w:tblW w:type="auto" w:w="0"/>
        <w:jc w:val="center"/>
        <w:tblLayout w:type="fixed"/>
        <w:tblLook w:firstColumn="1" w:firstRow="1" w:lastColumn="0" w:lastRow="0" w:noHBand="0" w:noVBand="1" w:val="04A0"/>
      </w:tblPr>
      <w:tblGrid>
        <w:gridCol w:w="9936"/>
      </w:tblGrid>
      <w:tr>
        <w:tc>
          <w:tcPr>
            <w:tcW w:type="dxa" w:w="9936"/>
            <w:shd w:fill="102C57"/>
            <w:tcMar>
              <w:top w:w="10" w:type="dxa"/>
              <w:bottom w:w="10" w:type="dxa"/>
              <w:left w:w="0" w:type="dxa"/>
              <w:right w:w="0" w:type="dxa"/>
            </w:tcMar>
          </w:tcPr>
          <w:p>
            <w:pPr>
              <w:spacing w:before="0" w:after="0"/>
            </w:pPr>
            <w:r>
              <w:rPr>
                <w:sz w:val="4"/>
              </w:rPr>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936"/>
            <w:shd w:fill="F0F4F8"/>
            <w:tcMar>
              <w:top w:w="160" w:type="dxa"/>
              <w:bottom w:w="160" w:type="dxa"/>
              <w:left w:w="200" w:type="dxa"/>
              <w:right w:w="200" w:type="dxa"/>
            </w:tcMar>
          </w:tcPr>
          <w:p>
            <w:pPr>
              <w:spacing w:before="0" w:after="80"/>
            </w:pPr>
            <w:r>
              <w:rPr>
                <w:rFonts w:ascii="Calibri" w:hAnsi="Calibri"/>
                <w:b/>
                <w:i w:val="0"/>
                <w:color w:val="102C57"/>
                <w:sz w:val="23"/>
              </w:rPr>
              <w:t>KEY TAKEAWAY FOR LEADERSHIP</w:t>
            </w:r>
          </w:p>
          <w:p>
            <w:pPr>
              <w:spacing w:before="0" w:after="0"/>
            </w:pPr>
            <w:r>
              <w:rPr>
                <w:rFonts w:ascii="Calibri" w:hAnsi="Calibri"/>
                <w:b w:val="0"/>
                <w:i w:val="0"/>
                <w:color w:val="212529"/>
                <w:sz w:val="21"/>
              </w:rPr>
              <w:t>Routine water test numbers (Ammonia, Nitrite, Salinity, Minerals) account for only 15% of whether shrimp grow well or poorly. High water test numbers often look 'random' because farm workers quickly intervene with aerators and probiotics when water quality drops. The true business threats causing 85% of harvest losses are undetected diseases (EMS and EHP) and severe salinity swings—not normal chemical variations.</w:t>
            </w:r>
          </w:p>
        </w:tc>
      </w:tr>
    </w:tbl>
    <w:p>
      <w:pPr>
        <w:spacing w:after="160"/>
      </w:pPr>
    </w:p>
    <w:p>
      <w:pPr>
        <w:spacing w:before="240" w:after="80"/>
      </w:pPr>
      <w:r>
        <w:rPr>
          <w:rFonts w:ascii="Calibri" w:hAnsi="Calibri"/>
          <w:b/>
          <w:i w:val="0"/>
          <w:color w:val="102C57"/>
          <w:sz w:val="26"/>
        </w:rPr>
        <w:t>1. Why Water Quality Data Looks Random on the Surface</w:t>
      </w:r>
    </w:p>
    <w:p>
      <w:pPr>
        <w:spacing w:before="0" w:after="120"/>
      </w:pPr>
      <w:r>
        <w:rPr>
          <w:rFonts w:ascii="Calibri" w:hAnsi="Calibri"/>
          <w:b w:val="0"/>
          <w:i w:val="0"/>
          <w:color w:val="212529"/>
          <w:sz w:val="21"/>
        </w:rPr>
        <w:t>When reviewing the 2024–2026 data, farm data often seems confusing: some ponds with high ammonia still had top harvests, while ponds with clean water crashed. Statistical and field audit across 1,117 pond cycles clarifies this into three practical business realities:</w:t>
      </w:r>
    </w:p>
    <w:p>
      <w:pPr>
        <w:pStyle w:val="ListBullet"/>
        <w:spacing w:before="40" w:after="80"/>
      </w:pPr>
      <w:r>
        <w:rPr>
          <w:rFonts w:ascii="Calibri" w:hAnsi="Calibri"/>
          <w:b/>
          <w:i w:val="0"/>
          <w:color w:val="102C57"/>
          <w:sz w:val="21"/>
        </w:rPr>
        <w:t xml:space="preserve">The 'Full Pond' Waste Paradox: </w:t>
      </w:r>
      <w:r>
        <w:rPr>
          <w:rFonts w:ascii="Calibri" w:hAnsi="Calibri"/>
          <w:b w:val="0"/>
          <w:i w:val="0"/>
          <w:color w:val="212529"/>
          <w:sz w:val="21"/>
        </w:rPr>
        <w:t>High-producing ponds with huge shrimp populations naturally produce massive daily waste (ammonia and nitrite) simply because thousands of healthy shrimp are eating and growing over 90+ days. Meanwhile, ponds where shrimp died early had clean water simply because there were few live shrimp left to eat or produce waste.</w:t>
      </w:r>
    </w:p>
    <w:p>
      <w:pPr>
        <w:pStyle w:val="ListBullet"/>
        <w:spacing w:before="40" w:after="80"/>
      </w:pPr>
      <w:r>
        <w:rPr>
          <w:rFonts w:ascii="Calibri" w:hAnsi="Calibri"/>
          <w:b/>
          <w:i w:val="0"/>
          <w:color w:val="102C57"/>
          <w:sz w:val="21"/>
        </w:rPr>
        <w:t xml:space="preserve">The Farm Team's Rescue Actions: </w:t>
      </w:r>
      <w:r>
        <w:rPr>
          <w:rFonts w:ascii="Calibri" w:hAnsi="Calibri"/>
          <w:b w:val="0"/>
          <w:i w:val="0"/>
          <w:color w:val="212529"/>
          <w:sz w:val="21"/>
        </w:rPr>
        <w:t>When a pond's ammonia or nitrite spikes, technicians don't let the shrimp die—they add extra aerators, reduce feeding, and dose probiotics. These rescue actions save the pond, which severs the simple link between dirty water and shrimp deaths.</w:t>
      </w:r>
    </w:p>
    <w:p>
      <w:pPr>
        <w:pStyle w:val="ListBullet"/>
        <w:spacing w:before="40" w:after="80"/>
      </w:pPr>
      <w:r>
        <w:rPr>
          <w:rFonts w:ascii="Calibri" w:hAnsi="Calibri"/>
          <w:b/>
          <w:i w:val="0"/>
          <w:color w:val="102C57"/>
          <w:sz w:val="21"/>
        </w:rPr>
        <w:t xml:space="preserve">Water Quality is a Safety Net, Not a Growth Engine: </w:t>
      </w:r>
      <w:r>
        <w:rPr>
          <w:rFonts w:ascii="Calibri" w:hAnsi="Calibri"/>
          <w:b w:val="0"/>
          <w:i w:val="0"/>
          <w:color w:val="212529"/>
          <w:sz w:val="21"/>
        </w:rPr>
        <w:t>Proper water chemistry is like oxygen in an office: having enough keeps everyone healthy, but adding twice as much will not make employees work twice as fast. Once minerals (Calcium and Magnesium) meet basic levels, adding more brings zero extra harvest weight.</w:t>
      </w:r>
    </w:p>
    <w:p>
      <w:pPr>
        <w:spacing w:before="280" w:after="80"/>
      </w:pPr>
      <w:r>
        <w:rPr>
          <w:rFonts w:ascii="Calibri" w:hAnsi="Calibri"/>
          <w:b/>
          <w:i w:val="0"/>
          <w:color w:val="102C57"/>
          <w:sz w:val="26"/>
        </w:rPr>
        <w:t>2. What Truly Decides Harvest Success (The Real Drivers)</w:t>
      </w:r>
    </w:p>
    <w:p>
      <w:pPr>
        <w:spacing w:before="0" w:after="160"/>
      </w:pPr>
      <w:r>
        <w:rPr>
          <w:rFonts w:ascii="Calibri" w:hAnsi="Calibri"/>
          <w:b w:val="0"/>
          <w:i w:val="0"/>
          <w:color w:val="212529"/>
          <w:sz w:val="21"/>
        </w:rPr>
        <w:t>By cross-referencing lab chemistry against 14,382 farm health and disease test records in the iSHARP database, we identified the three decisive factors that control survival and yield:</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592"/>
            <w:shd w:fill="102C57"/>
            <w:tcMar>
              <w:top w:w="140" w:type="dxa"/>
              <w:bottom w:w="140" w:type="dxa"/>
              <w:left w:w="140" w:type="dxa"/>
              <w:right w:w="140" w:type="dxa"/>
            </w:tcMar>
          </w:tcPr>
          <w:p>
            <w:pPr>
              <w:spacing w:before="0" w:after="0"/>
            </w:pPr>
            <w:r>
              <w:rPr>
                <w:rFonts w:ascii="Calibri" w:hAnsi="Calibri"/>
                <w:b/>
                <w:i w:val="0"/>
                <w:color w:val="FFFFFF"/>
                <w:sz w:val="19"/>
              </w:rPr>
              <w:t>Critical Factor</w:t>
            </w:r>
          </w:p>
        </w:tc>
        <w:tc>
          <w:tcPr>
            <w:tcW w:type="dxa" w:w="2160"/>
            <w:shd w:fill="102C57"/>
            <w:tcMar>
              <w:top w:w="140" w:type="dxa"/>
              <w:bottom w:w="140" w:type="dxa"/>
              <w:left w:w="140" w:type="dxa"/>
              <w:right w:w="140" w:type="dxa"/>
            </w:tcMar>
          </w:tcPr>
          <w:p>
            <w:pPr>
              <w:spacing w:before="0" w:after="0"/>
            </w:pPr>
            <w:r>
              <w:rPr>
                <w:rFonts w:ascii="Calibri" w:hAnsi="Calibri"/>
                <w:b/>
                <w:i w:val="0"/>
                <w:color w:val="FFFFFF"/>
                <w:sz w:val="19"/>
              </w:rPr>
              <w:t>Normal Ponds</w:t>
            </w:r>
          </w:p>
        </w:tc>
        <w:tc>
          <w:tcPr>
            <w:tcW w:type="dxa" w:w="2304"/>
            <w:shd w:fill="102C57"/>
            <w:tcMar>
              <w:top w:w="140" w:type="dxa"/>
              <w:bottom w:w="140" w:type="dxa"/>
              <w:left w:w="140" w:type="dxa"/>
              <w:right w:w="140" w:type="dxa"/>
            </w:tcMar>
          </w:tcPr>
          <w:p>
            <w:pPr>
              <w:spacing w:before="0" w:after="0"/>
            </w:pPr>
            <w:r>
              <w:rPr>
                <w:rFonts w:ascii="Calibri" w:hAnsi="Calibri"/>
                <w:b/>
                <w:i w:val="0"/>
                <w:color w:val="FFFFFF"/>
                <w:sz w:val="19"/>
              </w:rPr>
              <w:t>Infected / Stress Ponds</w:t>
            </w:r>
          </w:p>
        </w:tc>
        <w:tc>
          <w:tcPr>
            <w:tcW w:type="dxa" w:w="2880"/>
            <w:shd w:fill="102C57"/>
            <w:tcMar>
              <w:top w:w="140" w:type="dxa"/>
              <w:bottom w:w="140" w:type="dxa"/>
              <w:left w:w="140" w:type="dxa"/>
              <w:right w:w="140" w:type="dxa"/>
            </w:tcMar>
          </w:tcPr>
          <w:p>
            <w:pPr>
              <w:spacing w:before="0" w:after="0"/>
            </w:pPr>
            <w:r>
              <w:rPr>
                <w:rFonts w:ascii="Calibri" w:hAnsi="Calibri"/>
                <w:b/>
                <w:i w:val="0"/>
                <w:color w:val="FFFFFF"/>
                <w:sz w:val="19"/>
              </w:rPr>
              <w:t>Actual Business Impact</w:t>
            </w:r>
          </w:p>
        </w:tc>
      </w:tr>
      <w:tr>
        <w:tc>
          <w:tcPr>
            <w:tcW w:type="dxa" w:w="2592"/>
            <w:shd w:fill="F9FBFC"/>
            <w:tcMar>
              <w:top w:w="100" w:type="dxa"/>
              <w:bottom w:w="100" w:type="dxa"/>
              <w:left w:w="140" w:type="dxa"/>
              <w:right w:w="140" w:type="dxa"/>
            </w:tcMar>
          </w:tcPr>
          <w:p>
            <w:pPr>
              <w:spacing w:before="0" w:after="0"/>
            </w:pPr>
            <w:r>
              <w:rPr>
                <w:rFonts w:ascii="Calibri" w:hAnsi="Calibri"/>
                <w:b/>
                <w:i w:val="0"/>
                <w:color w:val="102C57"/>
                <w:sz w:val="19"/>
              </w:rPr>
              <w:t>EMS Disease (Early Mortality)</w:t>
            </w:r>
          </w:p>
        </w:tc>
        <w:tc>
          <w:tcPr>
            <w:tcW w:type="dxa" w:w="2160"/>
            <w:shd w:fill="F9FBFC"/>
            <w:tcMar>
              <w:top w:w="100" w:type="dxa"/>
              <w:bottom w:w="100" w:type="dxa"/>
              <w:left w:w="140" w:type="dxa"/>
              <w:right w:w="140" w:type="dxa"/>
            </w:tcMar>
          </w:tcPr>
          <w:p>
            <w:pPr>
              <w:spacing w:before="0" w:after="0"/>
            </w:pPr>
            <w:r>
              <w:rPr>
                <w:rFonts w:ascii="Calibri" w:hAnsi="Calibri"/>
                <w:b w:val="0"/>
                <w:i w:val="0"/>
                <w:color w:val="212529"/>
                <w:sz w:val="19"/>
              </w:rPr>
              <w:t>60.4% Survival</w:t>
            </w:r>
          </w:p>
        </w:tc>
        <w:tc>
          <w:tcPr>
            <w:tcW w:type="dxa" w:w="2304"/>
            <w:shd w:fill="F9FBFC"/>
            <w:tcMar>
              <w:top w:w="100" w:type="dxa"/>
              <w:bottom w:w="100" w:type="dxa"/>
              <w:left w:w="140" w:type="dxa"/>
              <w:right w:w="140" w:type="dxa"/>
            </w:tcMar>
          </w:tcPr>
          <w:p>
            <w:pPr>
              <w:spacing w:before="0" w:after="0"/>
            </w:pPr>
            <w:r>
              <w:rPr>
                <w:rFonts w:ascii="Calibri" w:hAnsi="Calibri"/>
                <w:b w:val="0"/>
                <w:i w:val="0"/>
                <w:color w:val="212529"/>
                <w:sz w:val="19"/>
              </w:rPr>
              <w:t>25.1% Survival</w:t>
            </w:r>
          </w:p>
        </w:tc>
        <w:tc>
          <w:tcPr>
            <w:tcW w:type="dxa" w:w="2880"/>
            <w:shd w:fill="F9FBFC"/>
            <w:tcMar>
              <w:top w:w="100" w:type="dxa"/>
              <w:bottom w:w="100" w:type="dxa"/>
              <w:left w:w="140" w:type="dxa"/>
              <w:right w:w="140" w:type="dxa"/>
            </w:tcMar>
          </w:tcPr>
          <w:p>
            <w:pPr>
              <w:spacing w:before="0" w:after="0"/>
            </w:pPr>
            <w:r>
              <w:rPr>
                <w:rFonts w:ascii="Calibri" w:hAnsi="Calibri"/>
                <w:b/>
                <w:i w:val="0"/>
                <w:color w:val="BA181B"/>
                <w:sz w:val="19"/>
              </w:rPr>
              <w:t>Cuts survival by -58% (severe financial loss).</w:t>
            </w:r>
          </w:p>
        </w:tc>
      </w:tr>
      <w:tr>
        <w:tc>
          <w:tcPr>
            <w:tcW w:type="dxa" w:w="2592"/>
            <w:shd w:fill="FFFFFF"/>
            <w:tcMar>
              <w:top w:w="100" w:type="dxa"/>
              <w:bottom w:w="100" w:type="dxa"/>
              <w:left w:w="140" w:type="dxa"/>
              <w:right w:w="140" w:type="dxa"/>
            </w:tcMar>
          </w:tcPr>
          <w:p>
            <w:pPr>
              <w:spacing w:before="0" w:after="0"/>
            </w:pPr>
            <w:r>
              <w:rPr>
                <w:rFonts w:ascii="Calibri" w:hAnsi="Calibri"/>
                <w:b/>
                <w:i w:val="0"/>
                <w:color w:val="102C57"/>
                <w:sz w:val="19"/>
              </w:rPr>
              <w:t>EHP Disease (Stunting Parasite)</w:t>
            </w:r>
          </w:p>
        </w:tc>
        <w:tc>
          <w:tcPr>
            <w:tcW w:type="dxa" w:w="2160"/>
            <w:shd w:fill="FFFFFF"/>
            <w:tcMar>
              <w:top w:w="100" w:type="dxa"/>
              <w:bottom w:w="100" w:type="dxa"/>
              <w:left w:w="140" w:type="dxa"/>
              <w:right w:w="140" w:type="dxa"/>
            </w:tcMar>
          </w:tcPr>
          <w:p>
            <w:pPr>
              <w:spacing w:before="0" w:after="0"/>
            </w:pPr>
            <w:r>
              <w:rPr>
                <w:rFonts w:ascii="Calibri" w:hAnsi="Calibri"/>
                <w:b w:val="0"/>
                <w:i w:val="0"/>
                <w:color w:val="212529"/>
                <w:sz w:val="19"/>
              </w:rPr>
              <w:t>0.200 g / day growth</w:t>
            </w:r>
          </w:p>
        </w:tc>
        <w:tc>
          <w:tcPr>
            <w:tcW w:type="dxa" w:w="2304"/>
            <w:shd w:fill="FFFFFF"/>
            <w:tcMar>
              <w:top w:w="100" w:type="dxa"/>
              <w:bottom w:w="100" w:type="dxa"/>
              <w:left w:w="140" w:type="dxa"/>
              <w:right w:w="140" w:type="dxa"/>
            </w:tcMar>
          </w:tcPr>
          <w:p>
            <w:pPr>
              <w:spacing w:before="0" w:after="0"/>
            </w:pPr>
            <w:r>
              <w:rPr>
                <w:rFonts w:ascii="Calibri" w:hAnsi="Calibri"/>
                <w:b w:val="0"/>
                <w:i w:val="0"/>
                <w:color w:val="212529"/>
                <w:sz w:val="19"/>
              </w:rPr>
              <w:t>0.166 g / day growth</w:t>
            </w:r>
          </w:p>
        </w:tc>
        <w:tc>
          <w:tcPr>
            <w:tcW w:type="dxa" w:w="2880"/>
            <w:shd w:fill="FFFFFF"/>
            <w:tcMar>
              <w:top w:w="100" w:type="dxa"/>
              <w:bottom w:w="100" w:type="dxa"/>
              <w:left w:w="140" w:type="dxa"/>
              <w:right w:w="140" w:type="dxa"/>
            </w:tcMar>
          </w:tcPr>
          <w:p>
            <w:pPr>
              <w:spacing w:before="0" w:after="0"/>
            </w:pPr>
            <w:r>
              <w:rPr>
                <w:rFonts w:ascii="Calibri" w:hAnsi="Calibri"/>
                <w:b/>
                <w:i w:val="0"/>
                <w:color w:val="212529"/>
                <w:sz w:val="19"/>
              </w:rPr>
              <w:t>Slows growth by -17%; shrimp fail to reach market size.</w:t>
            </w:r>
          </w:p>
        </w:tc>
      </w:tr>
      <w:tr>
        <w:tc>
          <w:tcPr>
            <w:tcW w:type="dxa" w:w="2592"/>
            <w:shd w:fill="F9FBFC"/>
            <w:tcMar>
              <w:top w:w="100" w:type="dxa"/>
              <w:bottom w:w="100" w:type="dxa"/>
              <w:left w:w="140" w:type="dxa"/>
              <w:right w:w="140" w:type="dxa"/>
            </w:tcMar>
          </w:tcPr>
          <w:p>
            <w:pPr>
              <w:spacing w:before="0" w:after="0"/>
            </w:pPr>
            <w:r>
              <w:rPr>
                <w:rFonts w:ascii="Calibri" w:hAnsi="Calibri"/>
                <w:b/>
                <w:i w:val="0"/>
                <w:color w:val="102C57"/>
                <w:sz w:val="19"/>
              </w:rPr>
              <w:t>High Nitrite (&gt; 0.5 ppm)</w:t>
            </w:r>
          </w:p>
        </w:tc>
        <w:tc>
          <w:tcPr>
            <w:tcW w:type="dxa" w:w="2160"/>
            <w:shd w:fill="F9FBFC"/>
            <w:tcMar>
              <w:top w:w="100" w:type="dxa"/>
              <w:bottom w:w="100" w:type="dxa"/>
              <w:left w:w="140" w:type="dxa"/>
              <w:right w:w="140" w:type="dxa"/>
            </w:tcMar>
          </w:tcPr>
          <w:p>
            <w:pPr>
              <w:spacing w:before="0" w:after="0"/>
            </w:pPr>
            <w:r>
              <w:rPr>
                <w:rFonts w:ascii="Calibri" w:hAnsi="Calibri"/>
                <w:b w:val="0"/>
                <w:i w:val="0"/>
                <w:color w:val="212529"/>
                <w:sz w:val="19"/>
              </w:rPr>
              <w:t>Normal Growth Pace</w:t>
            </w:r>
          </w:p>
        </w:tc>
        <w:tc>
          <w:tcPr>
            <w:tcW w:type="dxa" w:w="2304"/>
            <w:shd w:fill="F9FBFC"/>
            <w:tcMar>
              <w:top w:w="100" w:type="dxa"/>
              <w:bottom w:w="100" w:type="dxa"/>
              <w:left w:w="140" w:type="dxa"/>
              <w:right w:w="140" w:type="dxa"/>
            </w:tcMar>
          </w:tcPr>
          <w:p>
            <w:pPr>
              <w:spacing w:before="0" w:after="0"/>
            </w:pPr>
            <w:r>
              <w:rPr>
                <w:rFonts w:ascii="Calibri" w:hAnsi="Calibri"/>
                <w:b w:val="0"/>
                <w:i w:val="0"/>
                <w:color w:val="BA181B"/>
                <w:sz w:val="19"/>
              </w:rPr>
              <w:t>-17.4% Growth Penalty</w:t>
            </w:r>
          </w:p>
        </w:tc>
        <w:tc>
          <w:tcPr>
            <w:tcW w:type="dxa" w:w="2880"/>
            <w:shd w:fill="F9FBFC"/>
            <w:tcMar>
              <w:top w:w="100" w:type="dxa"/>
              <w:bottom w:w="100" w:type="dxa"/>
              <w:left w:w="140" w:type="dxa"/>
              <w:right w:w="140" w:type="dxa"/>
            </w:tcMar>
          </w:tcPr>
          <w:p>
            <w:pPr>
              <w:spacing w:before="0" w:after="0"/>
            </w:pPr>
            <w:r>
              <w:rPr>
                <w:rFonts w:ascii="Calibri" w:hAnsi="Calibri"/>
                <w:b/>
                <w:i w:val="0"/>
                <w:color w:val="212529"/>
                <w:sz w:val="19"/>
              </w:rPr>
              <w:t>Shrimp suffocate slowly; feed efficiency drops.</w:t>
            </w:r>
          </w:p>
        </w:tc>
      </w:tr>
      <w:tr>
        <w:tc>
          <w:tcPr>
            <w:tcW w:type="dxa" w:w="2592"/>
            <w:shd w:fill="FFFFFF"/>
            <w:tcMar>
              <w:top w:w="100" w:type="dxa"/>
              <w:bottom w:w="100" w:type="dxa"/>
              <w:left w:w="140" w:type="dxa"/>
              <w:right w:w="140" w:type="dxa"/>
            </w:tcMar>
          </w:tcPr>
          <w:p>
            <w:pPr>
              <w:spacing w:before="0" w:after="0"/>
            </w:pPr>
            <w:r>
              <w:rPr>
                <w:rFonts w:ascii="Calibri" w:hAnsi="Calibri"/>
                <w:b/>
                <w:i w:val="0"/>
                <w:color w:val="102C57"/>
                <w:sz w:val="19"/>
              </w:rPr>
              <w:t>Water Salinity (Salt Level)</w:t>
            </w:r>
          </w:p>
        </w:tc>
        <w:tc>
          <w:tcPr>
            <w:tcW w:type="dxa" w:w="2160"/>
            <w:shd w:fill="FFFFFF"/>
            <w:tcMar>
              <w:top w:w="100" w:type="dxa"/>
              <w:bottom w:w="100" w:type="dxa"/>
              <w:left w:w="140" w:type="dxa"/>
              <w:right w:w="140" w:type="dxa"/>
            </w:tcMar>
          </w:tcPr>
          <w:p>
            <w:pPr>
              <w:spacing w:before="0" w:after="0"/>
            </w:pPr>
            <w:r>
              <w:rPr>
                <w:rFonts w:ascii="Calibri" w:hAnsi="Calibri"/>
                <w:b w:val="0"/>
                <w:i w:val="0"/>
                <w:color w:val="212529"/>
                <w:sz w:val="19"/>
              </w:rPr>
              <w:t>22 - 28 ppt (Stable)</w:t>
            </w:r>
          </w:p>
        </w:tc>
        <w:tc>
          <w:tcPr>
            <w:tcW w:type="dxa" w:w="2304"/>
            <w:shd w:fill="FFFFFF"/>
            <w:tcMar>
              <w:top w:w="100" w:type="dxa"/>
              <w:bottom w:w="100" w:type="dxa"/>
              <w:left w:w="140" w:type="dxa"/>
              <w:right w:w="140" w:type="dxa"/>
            </w:tcMar>
          </w:tcPr>
          <w:p>
            <w:pPr>
              <w:spacing w:before="0" w:after="0"/>
            </w:pPr>
            <w:r>
              <w:rPr>
                <w:rFonts w:ascii="Calibri" w:hAnsi="Calibri"/>
                <w:b w:val="0"/>
                <w:i w:val="0"/>
                <w:color w:val="212529"/>
                <w:sz w:val="19"/>
              </w:rPr>
              <w:t>&gt; 28 ppt or &lt; 15 ppt</w:t>
            </w:r>
          </w:p>
        </w:tc>
        <w:tc>
          <w:tcPr>
            <w:tcW w:type="dxa" w:w="2880"/>
            <w:shd w:fill="FFFFFF"/>
            <w:tcMar>
              <w:top w:w="100" w:type="dxa"/>
              <w:bottom w:w="100" w:type="dxa"/>
              <w:left w:w="140" w:type="dxa"/>
              <w:right w:w="140" w:type="dxa"/>
            </w:tcMar>
          </w:tcPr>
          <w:p>
            <w:pPr>
              <w:spacing w:before="0" w:after="0"/>
            </w:pPr>
            <w:r>
              <w:rPr>
                <w:rFonts w:ascii="Calibri" w:hAnsi="Calibri"/>
                <w:b/>
                <w:i w:val="0"/>
                <w:color w:val="212529"/>
                <w:sz w:val="19"/>
              </w:rPr>
              <w:t>22–28 ppt gives highest survival (70.8%). High salt speeds growth but raises disease risk.</w:t>
            </w:r>
          </w:p>
        </w:tc>
      </w:tr>
    </w:tbl>
    <w:p>
      <w:pPr>
        <w:spacing w:after="200"/>
      </w:pPr>
    </w:p>
    <w:p>
      <w:pPr>
        <w:spacing w:before="240" w:after="80"/>
      </w:pPr>
      <w:r>
        <w:rPr>
          <w:rFonts w:ascii="Calibri" w:hAnsi="Calibri"/>
          <w:b/>
          <w:i w:val="0"/>
          <w:color w:val="102C57"/>
          <w:sz w:val="26"/>
        </w:rPr>
        <w:t>3. Real Ponds Comparison: Top 25% vs. Worst 25%</w:t>
      </w:r>
    </w:p>
    <w:p>
      <w:pPr>
        <w:spacing w:before="0" w:after="120"/>
      </w:pPr>
      <w:r>
        <w:rPr>
          <w:rFonts w:ascii="Calibri" w:hAnsi="Calibri"/>
          <w:b w:val="0"/>
          <w:i w:val="0"/>
          <w:color w:val="212529"/>
          <w:sz w:val="21"/>
        </w:rPr>
        <w:t>Looking at actual harvest records at Setiu Farm shows that underperforming ponds were almost always cut short by emergency harvests due to disease, not bad water chemistry:</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592"/>
            <w:shd w:fill="355F8E"/>
            <w:tcMar>
              <w:top w:w="120" w:type="dxa"/>
              <w:bottom w:w="120" w:type="dxa"/>
              <w:left w:w="140" w:type="dxa"/>
              <w:right w:w="140" w:type="dxa"/>
            </w:tcMar>
          </w:tcPr>
          <w:p>
            <w:pPr>
              <w:spacing w:before="0" w:after="0"/>
            </w:pPr>
            <w:r>
              <w:rPr>
                <w:rFonts w:ascii="Calibri" w:hAnsi="Calibri"/>
                <w:b/>
                <w:i w:val="0"/>
                <w:color w:val="FFFFFF"/>
                <w:sz w:val="19"/>
              </w:rPr>
              <w:t>Pond Performance Tier</w:t>
            </w:r>
          </w:p>
        </w:tc>
        <w:tc>
          <w:tcPr>
            <w:tcW w:type="dxa" w:w="2160"/>
            <w:shd w:fill="355F8E"/>
            <w:tcMar>
              <w:top w:w="120" w:type="dxa"/>
              <w:bottom w:w="120" w:type="dxa"/>
              <w:left w:w="140" w:type="dxa"/>
              <w:right w:w="140" w:type="dxa"/>
            </w:tcMar>
          </w:tcPr>
          <w:p>
            <w:pPr>
              <w:spacing w:before="0" w:after="0"/>
            </w:pPr>
            <w:r>
              <w:rPr>
                <w:rFonts w:ascii="Calibri" w:hAnsi="Calibri"/>
                <w:b/>
                <w:i w:val="0"/>
                <w:color w:val="FFFFFF"/>
                <w:sz w:val="19"/>
              </w:rPr>
              <w:t>Survival Rate</w:t>
            </w:r>
          </w:p>
        </w:tc>
        <w:tc>
          <w:tcPr>
            <w:tcW w:type="dxa" w:w="2304"/>
            <w:shd w:fill="355F8E"/>
            <w:tcMar>
              <w:top w:w="120" w:type="dxa"/>
              <w:bottom w:w="120" w:type="dxa"/>
              <w:left w:w="140" w:type="dxa"/>
              <w:right w:w="140" w:type="dxa"/>
            </w:tcMar>
          </w:tcPr>
          <w:p>
            <w:pPr>
              <w:spacing w:before="0" w:after="0"/>
            </w:pPr>
            <w:r>
              <w:rPr>
                <w:rFonts w:ascii="Calibri" w:hAnsi="Calibri"/>
                <w:b/>
                <w:i w:val="0"/>
                <w:color w:val="FFFFFF"/>
                <w:sz w:val="19"/>
              </w:rPr>
              <w:t>Culture Days (DOC)</w:t>
            </w:r>
          </w:p>
        </w:tc>
        <w:tc>
          <w:tcPr>
            <w:tcW w:type="dxa" w:w="2880"/>
            <w:shd w:fill="355F8E"/>
            <w:tcMar>
              <w:top w:w="120" w:type="dxa"/>
              <w:bottom w:w="120" w:type="dxa"/>
              <w:left w:w="140" w:type="dxa"/>
              <w:right w:w="140" w:type="dxa"/>
            </w:tcMar>
          </w:tcPr>
          <w:p>
            <w:pPr>
              <w:spacing w:before="0" w:after="0"/>
            </w:pPr>
            <w:r>
              <w:rPr>
                <w:rFonts w:ascii="Calibri" w:hAnsi="Calibri"/>
                <w:b/>
                <w:i w:val="0"/>
                <w:color w:val="FFFFFF"/>
                <w:sz w:val="19"/>
              </w:rPr>
              <w:t>Primary Reason for Outcome</w:t>
            </w:r>
          </w:p>
        </w:tc>
      </w:tr>
      <w:tr>
        <w:tc>
          <w:tcPr>
            <w:tcW w:type="dxa" w:w="2592"/>
            <w:shd w:fill="F9FBFC"/>
            <w:tcMar>
              <w:top w:w="100" w:type="dxa"/>
              <w:bottom w:w="100" w:type="dxa"/>
              <w:left w:w="140" w:type="dxa"/>
              <w:right w:w="140" w:type="dxa"/>
            </w:tcMar>
          </w:tcPr>
          <w:p>
            <w:pPr>
              <w:spacing w:before="0" w:after="0"/>
            </w:pPr>
            <w:r>
              <w:rPr>
                <w:rFonts w:ascii="Calibri" w:hAnsi="Calibri"/>
                <w:b/>
                <w:i w:val="0"/>
                <w:color w:val="212529"/>
                <w:sz w:val="19"/>
              </w:rPr>
              <w:t>Top 25% Best Ponds</w:t>
            </w:r>
          </w:p>
        </w:tc>
        <w:tc>
          <w:tcPr>
            <w:tcW w:type="dxa" w:w="2160"/>
            <w:shd w:fill="F9FBFC"/>
            <w:tcMar>
              <w:top w:w="100" w:type="dxa"/>
              <w:bottom w:w="100" w:type="dxa"/>
              <w:left w:w="140" w:type="dxa"/>
              <w:right w:w="140" w:type="dxa"/>
            </w:tcMar>
          </w:tcPr>
          <w:p>
            <w:pPr>
              <w:spacing w:before="0" w:after="0"/>
            </w:pPr>
            <w:r>
              <w:rPr>
                <w:rFonts w:ascii="Calibri" w:hAnsi="Calibri"/>
                <w:b w:val="0"/>
                <w:i w:val="0"/>
                <w:color w:val="287465"/>
                <w:sz w:val="19"/>
              </w:rPr>
              <w:t>85.2% Survival</w:t>
            </w:r>
          </w:p>
        </w:tc>
        <w:tc>
          <w:tcPr>
            <w:tcW w:type="dxa" w:w="2304"/>
            <w:shd w:fill="F9FBFC"/>
            <w:tcMar>
              <w:top w:w="100" w:type="dxa"/>
              <w:bottom w:w="100" w:type="dxa"/>
              <w:left w:w="140" w:type="dxa"/>
              <w:right w:w="140" w:type="dxa"/>
            </w:tcMar>
          </w:tcPr>
          <w:p>
            <w:pPr>
              <w:spacing w:before="0" w:after="0"/>
            </w:pPr>
            <w:r>
              <w:rPr>
                <w:rFonts w:ascii="Calibri" w:hAnsi="Calibri"/>
                <w:b w:val="0"/>
                <w:i w:val="0"/>
                <w:color w:val="212529"/>
                <w:sz w:val="19"/>
              </w:rPr>
              <w:t>96 Days to Harvest</w:t>
            </w:r>
          </w:p>
        </w:tc>
        <w:tc>
          <w:tcPr>
            <w:tcW w:type="dxa" w:w="2880"/>
            <w:shd w:fill="F9FBFC"/>
            <w:tcMar>
              <w:top w:w="100" w:type="dxa"/>
              <w:bottom w:w="100" w:type="dxa"/>
              <w:left w:w="140" w:type="dxa"/>
              <w:right w:w="140" w:type="dxa"/>
            </w:tcMar>
          </w:tcPr>
          <w:p>
            <w:pPr>
              <w:spacing w:before="0" w:after="0"/>
            </w:pPr>
            <w:r>
              <w:rPr>
                <w:rFonts w:ascii="Calibri" w:hAnsi="Calibri"/>
                <w:b w:val="0"/>
                <w:i w:val="0"/>
                <w:color w:val="212529"/>
                <w:sz w:val="19"/>
              </w:rPr>
              <w:t>Kept disease-free; steady feeding; active aeration prevented stress.</w:t>
            </w:r>
          </w:p>
        </w:tc>
      </w:tr>
      <w:tr>
        <w:tc>
          <w:tcPr>
            <w:tcW w:type="dxa" w:w="2592"/>
            <w:shd w:fill="FFFFFF"/>
            <w:tcMar>
              <w:top w:w="100" w:type="dxa"/>
              <w:bottom w:w="100" w:type="dxa"/>
              <w:left w:w="140" w:type="dxa"/>
              <w:right w:w="140" w:type="dxa"/>
            </w:tcMar>
          </w:tcPr>
          <w:p>
            <w:pPr>
              <w:spacing w:before="0" w:after="0"/>
            </w:pPr>
            <w:r>
              <w:rPr>
                <w:rFonts w:ascii="Calibri" w:hAnsi="Calibri"/>
                <w:b/>
                <w:i w:val="0"/>
                <w:color w:val="212529"/>
                <w:sz w:val="19"/>
              </w:rPr>
              <w:t>Middle 50% Average Ponds</w:t>
            </w:r>
          </w:p>
        </w:tc>
        <w:tc>
          <w:tcPr>
            <w:tcW w:type="dxa" w:w="2160"/>
            <w:shd w:fill="FFFFFF"/>
            <w:tcMar>
              <w:top w:w="100" w:type="dxa"/>
              <w:bottom w:w="100" w:type="dxa"/>
              <w:left w:w="140" w:type="dxa"/>
              <w:right w:w="140" w:type="dxa"/>
            </w:tcMar>
          </w:tcPr>
          <w:p>
            <w:pPr>
              <w:spacing w:before="0" w:after="0"/>
            </w:pPr>
            <w:r>
              <w:rPr>
                <w:rFonts w:ascii="Calibri" w:hAnsi="Calibri"/>
                <w:b w:val="0"/>
                <w:i w:val="0"/>
                <w:color w:val="212529"/>
                <w:sz w:val="19"/>
              </w:rPr>
              <w:t>55.0% Survival</w:t>
            </w:r>
          </w:p>
        </w:tc>
        <w:tc>
          <w:tcPr>
            <w:tcW w:type="dxa" w:w="2304"/>
            <w:shd w:fill="FFFFFF"/>
            <w:tcMar>
              <w:top w:w="100" w:type="dxa"/>
              <w:bottom w:w="100" w:type="dxa"/>
              <w:left w:w="140" w:type="dxa"/>
              <w:right w:w="140" w:type="dxa"/>
            </w:tcMar>
          </w:tcPr>
          <w:p>
            <w:pPr>
              <w:spacing w:before="0" w:after="0"/>
            </w:pPr>
            <w:r>
              <w:rPr>
                <w:rFonts w:ascii="Calibri" w:hAnsi="Calibri"/>
                <w:b w:val="0"/>
                <w:i w:val="0"/>
                <w:color w:val="212529"/>
                <w:sz w:val="19"/>
              </w:rPr>
              <w:t>75 Days to Harvest</w:t>
            </w:r>
          </w:p>
        </w:tc>
        <w:tc>
          <w:tcPr>
            <w:tcW w:type="dxa" w:w="2880"/>
            <w:shd w:fill="FFFFFF"/>
            <w:tcMar>
              <w:top w:w="100" w:type="dxa"/>
              <w:bottom w:w="100" w:type="dxa"/>
              <w:left w:w="140" w:type="dxa"/>
              <w:right w:w="140" w:type="dxa"/>
            </w:tcMar>
          </w:tcPr>
          <w:p>
            <w:pPr>
              <w:spacing w:before="0" w:after="0"/>
            </w:pPr>
            <w:r>
              <w:rPr>
                <w:rFonts w:ascii="Calibri" w:hAnsi="Calibri"/>
                <w:b w:val="0"/>
                <w:i w:val="0"/>
                <w:color w:val="212529"/>
                <w:sz w:val="19"/>
              </w:rPr>
              <w:t>Minor stunting or seasonal monsoon swings; standard market sizing.</w:t>
            </w:r>
          </w:p>
        </w:tc>
      </w:tr>
      <w:tr>
        <w:tc>
          <w:tcPr>
            <w:tcW w:type="dxa" w:w="2592"/>
            <w:shd w:fill="F9FBFC"/>
            <w:tcMar>
              <w:top w:w="100" w:type="dxa"/>
              <w:bottom w:w="100" w:type="dxa"/>
              <w:left w:w="140" w:type="dxa"/>
              <w:right w:w="140" w:type="dxa"/>
            </w:tcMar>
          </w:tcPr>
          <w:p>
            <w:pPr>
              <w:spacing w:before="0" w:after="0"/>
            </w:pPr>
            <w:r>
              <w:rPr>
                <w:rFonts w:ascii="Calibri" w:hAnsi="Calibri"/>
                <w:b/>
                <w:i w:val="0"/>
                <w:color w:val="212529"/>
                <w:sz w:val="19"/>
              </w:rPr>
              <w:t>Worst 25% Crashed Ponds</w:t>
            </w:r>
          </w:p>
        </w:tc>
        <w:tc>
          <w:tcPr>
            <w:tcW w:type="dxa" w:w="2160"/>
            <w:shd w:fill="F9FBFC"/>
            <w:tcMar>
              <w:top w:w="100" w:type="dxa"/>
              <w:bottom w:w="100" w:type="dxa"/>
              <w:left w:w="140" w:type="dxa"/>
              <w:right w:w="140" w:type="dxa"/>
            </w:tcMar>
          </w:tcPr>
          <w:p>
            <w:pPr>
              <w:spacing w:before="0" w:after="0"/>
            </w:pPr>
            <w:r>
              <w:rPr>
                <w:rFonts w:ascii="Calibri" w:hAnsi="Calibri"/>
                <w:b w:val="0"/>
                <w:i w:val="0"/>
                <w:color w:val="BA181B"/>
                <w:sz w:val="19"/>
              </w:rPr>
              <w:t>21.4% Survival</w:t>
            </w:r>
          </w:p>
        </w:tc>
        <w:tc>
          <w:tcPr>
            <w:tcW w:type="dxa" w:w="2304"/>
            <w:shd w:fill="F9FBFC"/>
            <w:tcMar>
              <w:top w:w="100" w:type="dxa"/>
              <w:bottom w:w="100" w:type="dxa"/>
              <w:left w:w="140" w:type="dxa"/>
              <w:right w:w="140" w:type="dxa"/>
            </w:tcMar>
          </w:tcPr>
          <w:p>
            <w:pPr>
              <w:spacing w:before="0" w:after="0"/>
            </w:pPr>
            <w:r>
              <w:rPr>
                <w:rFonts w:ascii="Calibri" w:hAnsi="Calibri"/>
                <w:b w:val="0"/>
                <w:i w:val="0"/>
                <w:color w:val="212529"/>
                <w:sz w:val="19"/>
              </w:rPr>
              <w:t>69 Days (Forced Harvest)</w:t>
            </w:r>
          </w:p>
        </w:tc>
        <w:tc>
          <w:tcPr>
            <w:tcW w:type="dxa" w:w="2880"/>
            <w:shd w:fill="F9FBFC"/>
            <w:tcMar>
              <w:top w:w="100" w:type="dxa"/>
              <w:bottom w:w="100" w:type="dxa"/>
              <w:left w:w="140" w:type="dxa"/>
              <w:right w:w="140" w:type="dxa"/>
            </w:tcMar>
          </w:tcPr>
          <w:p>
            <w:pPr>
              <w:spacing w:before="0" w:after="0"/>
            </w:pPr>
            <w:r>
              <w:rPr>
                <w:rFonts w:ascii="Calibri" w:hAnsi="Calibri"/>
                <w:b w:val="0"/>
                <w:i w:val="0"/>
                <w:color w:val="212529"/>
                <w:sz w:val="19"/>
              </w:rPr>
              <w:t>Emergency harvest triggered by EMS mortality or EHP stunting.</w:t>
            </w:r>
          </w:p>
        </w:tc>
      </w:tr>
    </w:tbl>
    <w:p>
      <w:pPr>
        <w:spacing w:after="200"/>
      </w:pPr>
    </w:p>
    <w:p>
      <w:pPr>
        <w:spacing w:before="240" w:after="80"/>
      </w:pPr>
      <w:r>
        <w:rPr>
          <w:rFonts w:ascii="Calibri" w:hAnsi="Calibri"/>
          <w:b/>
          <w:i w:val="0"/>
          <w:color w:val="102C57"/>
          <w:sz w:val="26"/>
        </w:rPr>
        <w:t>4. Strategic Decisions for Farm Leadership</w:t>
      </w:r>
    </w:p>
    <w:p>
      <w:pPr>
        <w:pStyle w:val="ListBullet"/>
        <w:spacing w:before="60" w:after="80"/>
      </w:pPr>
      <w:r>
        <w:rPr>
          <w:rFonts w:ascii="Calibri" w:hAnsi="Calibri"/>
          <w:b/>
          <w:i w:val="0"/>
          <w:color w:val="102C57"/>
          <w:sz w:val="21"/>
        </w:rPr>
        <w:t xml:space="preserve">Target Stable Water Salinity (22 – 28 ppt): </w:t>
      </w:r>
      <w:r>
        <w:rPr>
          <w:rFonts w:ascii="Calibri" w:hAnsi="Calibri"/>
          <w:b w:val="0"/>
          <w:i w:val="0"/>
          <w:color w:val="212529"/>
          <w:sz w:val="21"/>
        </w:rPr>
        <w:t>Our data proves that maintaining water in the 22–28 ppt range yields 70.8% survival (+24% higher than oceanic water). While higher salinity speeds growth slightly, it dramatically raises disease risk.</w:t>
      </w:r>
    </w:p>
    <w:p>
      <w:pPr>
        <w:pStyle w:val="ListBullet"/>
        <w:spacing w:before="60" w:after="80"/>
      </w:pPr>
      <w:r>
        <w:rPr>
          <w:rFonts w:ascii="Calibri" w:hAnsi="Calibri"/>
          <w:b/>
          <w:i w:val="0"/>
          <w:color w:val="102C57"/>
          <w:sz w:val="21"/>
        </w:rPr>
        <w:t xml:space="preserve">Design the 'Lab &amp; QAQC' Dashboard Around Risk, Not Raw Numbers: </w:t>
      </w:r>
      <w:r>
        <w:rPr>
          <w:rFonts w:ascii="Calibri" w:hAnsi="Calibri"/>
          <w:b w:val="0"/>
          <w:i w:val="0"/>
          <w:color w:val="212529"/>
          <w:sz w:val="21"/>
        </w:rPr>
        <w:t>Instead of confusing farm staff with raw chemical graphs, the new Lab screen should flag 'Stress Days' (e.g. Nitrite &gt; 0.5 ppm for 5 days = expected -17% growth drop) so supervisors take immediate corrective action.</w:t>
      </w:r>
    </w:p>
    <w:p>
      <w:pPr>
        <w:pStyle w:val="ListBullet"/>
        <w:spacing w:before="60" w:after="80"/>
      </w:pPr>
      <w:r>
        <w:rPr>
          <w:rFonts w:ascii="Calibri" w:hAnsi="Calibri"/>
          <w:b/>
          <w:i w:val="0"/>
          <w:color w:val="102C57"/>
          <w:sz w:val="21"/>
        </w:rPr>
        <w:t xml:space="preserve">Integrate Disease Testing into Daily Pond View: </w:t>
      </w:r>
      <w:r>
        <w:rPr>
          <w:rFonts w:ascii="Calibri" w:hAnsi="Calibri"/>
          <w:b w:val="0"/>
          <w:i w:val="0"/>
          <w:color w:val="212529"/>
          <w:sz w:val="21"/>
        </w:rPr>
        <w:t>Water chemistry must always be viewed alongside PCR pathogen results (EHP/EMS). If a pond slows down, management needs to know immediately whether it is water stress or an active disease.</w:t>
      </w:r>
    </w:p>
    <w:p>
      <w:pPr>
        <w:pStyle w:val="ListBullet"/>
        <w:spacing w:before="60" w:after="80"/>
      </w:pPr>
      <w:r>
        <w:rPr>
          <w:rFonts w:ascii="Calibri" w:hAnsi="Calibri"/>
          <w:b/>
          <w:i w:val="0"/>
          <w:color w:val="102C57"/>
          <w:sz w:val="21"/>
        </w:rPr>
        <w:t xml:space="preserve">Connect Real-Time Night Oxygen (DO): </w:t>
      </w:r>
      <w:r>
        <w:rPr>
          <w:rFonts w:ascii="Calibri" w:hAnsi="Calibri"/>
          <w:b w:val="0"/>
          <w:i w:val="0"/>
          <w:color w:val="212529"/>
          <w:sz w:val="21"/>
        </w:rPr>
        <w:t>Continuous pre-dawn dissolved oxygen (3:00 AM – 6:00 AM) and temperature explain the remaining unmeasured mortality. Expanding automated IoT oxygen probes to active ponds will close the predictive gap.</w:t>
      </w:r>
    </w:p>
    <w:p>
      <w:pPr>
        <w:spacing w:after="240"/>
      </w:pPr>
    </w:p>
    <w:p>
      <w:pPr>
        <w:spacing w:before="240"/>
      </w:pPr>
      <w:r>
        <w:rPr>
          <w:rFonts w:ascii="Calibri" w:hAnsi="Calibri"/>
          <w:b w:val="0"/>
          <w:i/>
          <w:color w:val="6C757D"/>
          <w:sz w:val="18"/>
        </w:rPr>
        <w:t>Prepared by iSHARP Precision Aquaculture Analytics | Blue Archipelago Berhad</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