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Tech Overview — RAG Knowledgebase Chatbot</w:t>
      </w:r>
    </w:p>
    <w:p>
      <w:pPr>
        <w:spacing w:after="240"/>
      </w:pPr>
      <w:r>
        <w:rPr>
          <w:i/>
          <w:iCs/>
          <w:color w:val="555555"/>
          <w:sz w:val="22"/>
          <w:szCs w:val="22"/>
        </w:rPr>
        <w:t xml:space="preserve">A high-level look at the system: the stack, the RAG pipeline, and how a question becomes a grounded answer.</w:t>
      </w:r>
    </w:p>
    <w:p>
      <w:pPr>
        <w:pStyle w:val="Heading1"/>
      </w:pPr>
      <w:r>
        <w:t xml:space="preserve">What it is</w:t>
      </w:r>
    </w:p>
    <w:p>
      <w:pPr>
        <w:spacing w:after="160" w:before="0"/>
      </w:pPr>
      <w:r>
        <w:rPr>
          <w:b w:val="false"/>
          <w:bCs w:val="false"/>
        </w:rPr>
        <w:t xml:space="preserve">A grounded chatbot for marketing landing pages. Anonymous visitors ask questions and the assistant answers only from a corpus an admin curates. Retrieval is hybrid (semantic + keyword) fused with Reciprocal Rank Fusion, and generation streams from Qwen over Server-Sent Events. If the answer isn’t in the corpus, the model is instructed to say so rather than fall back on its general training.</w:t>
      </w:r>
    </w:p>
    <w:p>
      <w:pPr>
        <w:pStyle w:val="Heading1"/>
      </w:pPr>
      <w: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React 19 + Vite + TypeScript, Tailwind v4, shadcn/ui, React Router v7, Zustand, React Hook Form + Zod, Axios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FastAPI + Uvicorn (Python 3.12), async SQLAlchemy + asyncpg, Pydantic v2, Alembic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Postgres + pgvector + native Full-Text Search (Supabase)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Supabase Storage (original uploaded files)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Supabase Auth, ES256 JWT verified via JWKS (admin only; chat is anonymous)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AI models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qwen-plus-latest for chat, text-embedding-v3 (1024-dim) for embeddings, both via DashScope International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Deploy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Frontend on Vercel, backend on Railway, data layer on Supabase (ap-southeast-1)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Architecture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RAG pipeline</w:t>
      </w:r>
    </w:p>
    <w:p>
      <w:pPr>
        <w:spacing w:after="160" w:before="0"/>
      </w:pPr>
      <w:r>
        <w:rPr>
          <w:b w:val="false"/>
          <w:bCs w:val="false"/>
        </w:rPr>
        <w:t xml:space="preserve">Two sides: a write side that builds the searchable index, and a read side that answers a question against it.</w:t>
      </w:r>
    </w:p>
    <w:p>
      <w:pPr>
        <w:spacing w:after="200" w:before="80"/>
        <w:jc w:val="center"/>
      </w:pPr>
      <w:r>
        <w:drawing>
          <wp:inline distT="0" distB="0" distL="0" distR="0">
            <wp:extent cx="5943600" cy="12954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Ingestion (write side)</w:t>
      </w:r>
    </w:p>
    <w:p>
      <w:pPr>
        <w:spacing w:after="160" w:before="0"/>
      </w:pPr>
      <w:r>
        <w:rPr>
          <w:b w:val="false"/>
          <w:bCs w:val="false"/>
        </w:rPr>
        <w:t xml:space="preserve">An admin uploads a file (PDF, DOCX, PPTX, XLSX, TXT, HTML). We store the original, parse it into chunks of roughly a few paragraphs each (small chunks keep retrieval sharp), embed every chunk with text-embedding-v3, and write the text plus its 1024-dim vector into Postgres. Each chunk also gets a lexical index entry for keyword search. Parsing is text-only; images in PDFs are dropped. The whole thing runs as a background job, and each file carries a status (uploaded, ingesting, ingested, failed) so the admin can retry anything that fails.</w:t>
      </w:r>
    </w:p>
    <w:p>
      <w:pPr>
        <w:pStyle w:val="Heading2"/>
      </w:pPr>
      <w:r>
        <w:t xml:space="preserve">Chat (read side)</w:t>
      </w:r>
    </w:p>
    <w:p>
      <w:pPr>
        <w:spacing w:after="160" w:before="0"/>
      </w:pPr>
      <w:r>
        <w:rPr>
          <w:b w:val="false"/>
          <w:bCs w:val="false"/>
        </w:rPr>
        <w:t xml:space="preserve">The visitor’s question is embedded as-is (no query rewriting), then run against both indexes. The top chunks go into the system prompt with a grounding instruction, and qwen-plus-latest streams the answer back token by token over SSE. The cited documents are surfaced alongside the answer as clickable sources.</w:t>
      </w:r>
    </w:p>
    <w:p>
      <w:pPr>
        <w:pStyle w:val="Heading1"/>
      </w:pPr>
      <w:r>
        <w:t xml:space="preserve">Hybrid retrieval and RRF</w:t>
      </w:r>
    </w:p>
    <w:p>
      <w:pPr>
        <w:spacing w:after="160" w:before="0"/>
      </w:pPr>
      <w:r>
        <w:rPr>
          <w:b w:val="false"/>
          <w:bCs w:val="false"/>
        </w:rPr>
        <w:t xml:space="preserve">Retrieval uses two arms, because each covers the other’s blind spot: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Vector search</w:t>
      </w:r>
      <w:r>
        <w:rPr>
          <w:b w:val="false"/>
          <w:bCs w:val="false"/>
        </w:rPr>
        <w:t xml:space="preserve"> (pgvector, cosine distance) finds semantically similar chunks even when no words match.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Lexical search</w:t>
      </w:r>
      <w:r>
        <w:rPr>
          <w:b w:val="false"/>
          <w:bCs w:val="false"/>
        </w:rPr>
        <w:t xml:space="preserve"> (Postgres Full-Text Search, </w:t>
      </w:r>
      <w:r>
        <w:rPr>
          <w:rFonts w:ascii="Consolas" w:cs="Consolas" w:eastAsia="Consolas" w:hAnsi="Consolas"/>
          <w:b w:val="false"/>
          <w:bCs w:val="false"/>
          <w:sz w:val="21"/>
          <w:szCs w:val="21"/>
        </w:rPr>
        <w:t xml:space="preserve">ts_rank</w:t>
      </w:r>
      <w:r>
        <w:rPr>
          <w:b w:val="false"/>
          <w:bCs w:val="false"/>
        </w:rPr>
        <w:t xml:space="preserve">) matches exact terms like names, codes, and numbers. This is tf-idf-family ranking, not BM25.</w:t>
      </w:r>
    </w:p>
    <w:p>
      <w:pPr>
        <w:spacing w:after="160" w:before="0"/>
      </w:pPr>
      <w:r>
        <w:rPr>
          <w:b w:val="false"/>
          <w:bCs w:val="false"/>
        </w:rPr>
        <w:t xml:space="preserve">Each arm returns its own top-ranked list. We merge them with Reciprocal Rank Fusion: every list a chunk appears in contributes </w:t>
      </w:r>
      <w:r>
        <w:rPr>
          <w:rFonts w:ascii="Consolas" w:cs="Consolas" w:eastAsia="Consolas" w:hAnsi="Consolas"/>
          <w:b w:val="false"/>
          <w:bCs w:val="false"/>
          <w:sz w:val="21"/>
          <w:szCs w:val="21"/>
        </w:rPr>
        <w:t xml:space="preserve">1 / (60 + its rank in that list)</w:t>
      </w:r>
      <w:r>
        <w:rPr>
          <w:b w:val="false"/>
          <w:bCs w:val="false"/>
        </w:rPr>
        <w:t xml:space="preserve">, and we add those contributions up. Higher total wins. The constant 60 is the standard RRF default; it damps how much the very top ranks dominate.</w:t>
      </w:r>
    </w:p>
    <w:p>
      <w:pPr>
        <w:spacing w:after="160" w:before="0"/>
      </w:pPr>
      <w:r>
        <w:rPr>
          <w:b w:val="false"/>
          <w:bCs w:val="false"/>
        </w:rPr>
        <w:t xml:space="preserve">A worked example makes it concrete. Say the two arms return these top chunks: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700"/>
        <w:gridCol w:w="3360"/>
        <w:gridCol w:w="1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Chunk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Vector rank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Lexical rank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RRF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Final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1/62 + 1/61 = 0.0325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1st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1/61 + 1/63 = 0.0323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2nd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1/62 = 0.0161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3rd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1/63 = 0.0159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4th</w:t>
            </w:r>
          </w:p>
        </w:tc>
      </w:tr>
    </w:tbl>
    <w:p>
      <w:pPr>
        <w:spacing w:after="120"/>
      </w:pPr>
    </w:p>
    <w:p>
      <w:pPr>
        <w:spacing w:after="160" w:before="0"/>
      </w:pPr>
      <w:r>
        <w:rPr>
          <w:b w:val="false"/>
          <w:bCs w:val="false"/>
        </w:rPr>
        <w:t xml:space="preserve">B wins because it ranks near the top of both arms. A is a close second despite topping the vector arm, since it’s weaker on keywords. C and D each show up in only one arm, so they land well below the chunks both arms agree on. That agreement-rewarding behavior is the whole point.</w:t>
      </w:r>
    </w:p>
    <w:p>
      <w:pPr>
        <w:spacing w:after="160" w:before="0"/>
      </w:pPr>
      <w:r>
        <w:rPr>
          <w:b w:val="false"/>
          <w:bCs w:val="false"/>
        </w:rPr>
        <w:t xml:space="preserve">We fuse by rank instead of raw score on purpose. Vector cosine distance and ts_rank live on completely different scales, so adding the raw numbers would need per-corpus tuning to mean anything. Rank position sidesteps that and stays robust with zero tuning. After fusion we dedupe and keep the top handful (default 8, admin-configurable) for the prompt.</w:t>
      </w:r>
    </w:p>
    <w:p>
      <w:pPr>
        <w:pStyle w:val="Heading1"/>
      </w:pPr>
      <w:r>
        <w:t xml:space="preserve">What we deliberately leave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Technique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6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Why not, for now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Cross-encoder reranker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Marginal quality lift on a handful of chunks, adds latency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BM25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Postgres ts_rank is good enough and built 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Query rewriting / HyDE / multi-query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Costs an extra LLM round-trip per turn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History-aware query rewriting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most likely next addition; fixes context-losing follow-ups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Multimodal embeddings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 corpora are text-extractable today</w:t>
            </w:r>
          </w:p>
        </w:tc>
      </w:tr>
    </w:tbl>
    <w:p>
      <w:pPr>
        <w:spacing w:after="0" w:before="120"/>
      </w:pPr>
      <w:r>
        <w:rPr>
          <w:b w:val="false"/>
          <w:bCs w:val="false"/>
        </w:rPr>
        <w:t xml:space="preserve">These are easy to add later if usage or quality needs justify them. Building them now would mean paying for scale we don’t have yet.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1F1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1F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7858ad7a4c243953649b93259cc23494c5b1ad.png"/><Relationship Id="rId8" Type="http://schemas.openxmlformats.org/officeDocument/2006/relationships/image" Target="media/35cf66990f852ae3e688c27ae58dec4ac6c01fe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2026-05-29T07:01:27.705Z</dcterms:created>
  <dcterms:modified xsi:type="dcterms:W3CDTF">2026-05-29T07:01:27.706Z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