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SOP-BMP-04/2026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ANALISIS DAN EVALUASI KINERJA MEDIA SOSIAL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5</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ANALISIS DAN EVALUASI KINERJA MEDIA SOSIAL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analisis dan evaluasi kinerja media sosial resmi IAI STIBA Makassar yang dikelola oleh Bagian Media dan Pers (BMP). SOP ini memastikan tersedianya laporan evaluasi yang terstruktur, berbasis data, dan disertai rekomendasi perbaikan sebagai dasar pengambilan keputusan strategis dalam pengelolaan konten digital.</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pengumpulan data kinerja dari seluruh platform media sosial yang dikelola BMP (Instagram, Facebook, TikTok, YouTube), analisis dan pengolahan data, penyusunan laporan evaluasi, pemberian rekomendasi strategis, serta distribusi laporan kepada pimpinan BMP dan pihak terkait.</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bulanan analisis dan evaluasi kinerja media sosial BMP IAI STIBA Makassar. Proses meliputi pengumpulan data insight dari setiap platform, konsolidasi dan pengolahan data, analisis performa konten serta pertumbuhan audiens, penyusunan laporan evaluasi berisi temuan dan rekomendasi, tinjauan pimpinan, dan distribusi laporan. Target output adalah 1 laporan evaluasi kinerja media sosial lengkap beserta rekomendasi strategis setiap bulan.</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Analisis Kinerja: </w:t>
            </w:r>
            <w:r>
              <w:rPr>
                <w:rFonts w:ascii="Arial" w:cs="Arial" w:eastAsia="Arial" w:hAnsi="Arial"/>
                <w:b w:val="false"/>
                <w:bCs w:val="false"/>
                <w:color w:val="000000"/>
                <w:sz w:val="20"/>
                <w:szCs w:val="20"/>
              </w:rPr>
              <w:t xml:space="preserve">Proses evaluasi data statistik dari platform media sosial untuk mengukur efektivitas strategi konten.</w:t>
            </w:r>
          </w:p>
          <w:p>
            <w:pPr>
              <w:spacing w:after="40" w:before="40"/>
              <w:jc w:val="left"/>
            </w:pPr>
            <w:r>
              <w:rPr>
                <w:rFonts w:ascii="Arial" w:cs="Arial" w:eastAsia="Arial" w:hAnsi="Arial"/>
                <w:b/>
                <w:bCs/>
                <w:color w:val="000000"/>
                <w:sz w:val="20"/>
                <w:szCs w:val="20"/>
              </w:rPr>
              <w:t xml:space="preserve">Laporan Evaluasi: </w:t>
            </w:r>
            <w:r>
              <w:rPr>
                <w:rFonts w:ascii="Arial" w:cs="Arial" w:eastAsia="Arial" w:hAnsi="Arial"/>
                <w:b w:val="false"/>
                <w:bCs w:val="false"/>
                <w:color w:val="000000"/>
                <w:sz w:val="20"/>
                <w:szCs w:val="20"/>
              </w:rPr>
              <w:t xml:space="preserve">Dokumen yang merangkum data kinerja, temuan analisis, dan rekomendasi strategis untuk satu periode bulan.</w:t>
            </w:r>
          </w:p>
          <w:p>
            <w:pPr>
              <w:spacing w:after="40" w:before="40"/>
              <w:jc w:val="left"/>
            </w:pPr>
            <w:r>
              <w:rPr>
                <w:rFonts w:ascii="Arial" w:cs="Arial" w:eastAsia="Arial" w:hAnsi="Arial"/>
                <w:b/>
                <w:bCs/>
                <w:color w:val="000000"/>
                <w:sz w:val="20"/>
                <w:szCs w:val="20"/>
              </w:rPr>
              <w:t xml:space="preserve">Insight: </w:t>
            </w:r>
            <w:r>
              <w:rPr>
                <w:rFonts w:ascii="Arial" w:cs="Arial" w:eastAsia="Arial" w:hAnsi="Arial"/>
                <w:b w:val="false"/>
                <w:bCs w:val="false"/>
                <w:color w:val="000000"/>
                <w:sz w:val="20"/>
                <w:szCs w:val="20"/>
              </w:rPr>
              <w:t xml:space="preserve">Data analitik yang disediakan oleh platform media sosial (Instagram Insights, YouTube Analytics, TikTok Analytics, Meta Business Suite, dll.).</w:t>
            </w:r>
          </w:p>
          <w:p>
            <w:pPr>
              <w:spacing w:after="40" w:before="40"/>
              <w:jc w:val="left"/>
            </w:pPr>
            <w:r>
              <w:rPr>
                <w:rFonts w:ascii="Arial" w:cs="Arial" w:eastAsia="Arial" w:hAnsi="Arial"/>
                <w:b/>
                <w:bCs/>
                <w:color w:val="000000"/>
                <w:sz w:val="20"/>
                <w:szCs w:val="20"/>
              </w:rPr>
              <w:t xml:space="preserve">Engagement: </w:t>
            </w:r>
            <w:r>
              <w:rPr>
                <w:rFonts w:ascii="Arial" w:cs="Arial" w:eastAsia="Arial" w:hAnsi="Arial"/>
                <w:b w:val="false"/>
                <w:bCs w:val="false"/>
                <w:color w:val="000000"/>
                <w:sz w:val="20"/>
                <w:szCs w:val="20"/>
              </w:rPr>
              <w:t xml:space="preserve">Tingkat interaksi audiens dengan konten, meliputi likes, komentar, share, save, dan klik.</w:t>
            </w:r>
          </w:p>
          <w:p>
            <w:pPr>
              <w:spacing w:after="40" w:before="40"/>
              <w:jc w:val="left"/>
            </w:pPr>
            <w:r>
              <w:rPr>
                <w:rFonts w:ascii="Arial" w:cs="Arial" w:eastAsia="Arial" w:hAnsi="Arial"/>
                <w:b/>
                <w:bCs/>
                <w:color w:val="000000"/>
                <w:sz w:val="20"/>
                <w:szCs w:val="20"/>
              </w:rPr>
              <w:t xml:space="preserve">KPI (Key Performance Indicator): </w:t>
            </w:r>
            <w:r>
              <w:rPr>
                <w:rFonts w:ascii="Arial" w:cs="Arial" w:eastAsia="Arial" w:hAnsi="Arial"/>
                <w:b w:val="false"/>
                <w:bCs w:val="false"/>
                <w:color w:val="000000"/>
                <w:sz w:val="20"/>
                <w:szCs w:val="20"/>
              </w:rPr>
              <w:t xml:space="preserve">Indikator terukur yang digunakan untuk mengevaluasi keberhasilan strategi konten media sosial.</w:t>
            </w:r>
          </w:p>
          <w:p>
            <w:pPr>
              <w:spacing w:after="40" w:before="40"/>
              <w:jc w:val="left"/>
            </w:pPr>
            <w:r>
              <w:rPr>
                <w:rFonts w:ascii="Arial" w:cs="Arial" w:eastAsia="Arial" w:hAnsi="Arial"/>
                <w:b/>
                <w:bCs/>
                <w:color w:val="000000"/>
                <w:sz w:val="20"/>
                <w:szCs w:val="20"/>
              </w:rPr>
              <w:t xml:space="preserve">Reach: </w:t>
            </w:r>
            <w:r>
              <w:rPr>
                <w:rFonts w:ascii="Arial" w:cs="Arial" w:eastAsia="Arial" w:hAnsi="Arial"/>
                <w:b w:val="false"/>
                <w:bCs w:val="false"/>
                <w:color w:val="000000"/>
                <w:sz w:val="20"/>
                <w:szCs w:val="20"/>
              </w:rPr>
              <w:t xml:space="preserve">Jumlah akun unik yang melihat suatu konten dalam periode tertentu.</w:t>
            </w:r>
          </w:p>
          <w:p>
            <w:pPr>
              <w:spacing w:after="40" w:before="40"/>
              <w:jc w:val="left"/>
            </w:pPr>
            <w:r>
              <w:rPr>
                <w:rFonts w:ascii="Arial" w:cs="Arial" w:eastAsia="Arial" w:hAnsi="Arial"/>
                <w:b/>
                <w:bCs/>
                <w:color w:val="000000"/>
                <w:sz w:val="20"/>
                <w:szCs w:val="20"/>
              </w:rPr>
              <w:t xml:space="preserve">Impression: </w:t>
            </w:r>
            <w:r>
              <w:rPr>
                <w:rFonts w:ascii="Arial" w:cs="Arial" w:eastAsia="Arial" w:hAnsi="Arial"/>
                <w:b w:val="false"/>
                <w:bCs w:val="false"/>
                <w:color w:val="000000"/>
                <w:sz w:val="20"/>
                <w:szCs w:val="20"/>
              </w:rPr>
              <w:t xml:space="preserve">Total jumlah tampilan konten, termasuk tampilan berulang oleh akun yang sama.</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Undang-Undang No. 14 Tahun 2008 tentang Keterbukaan Informasi Publik.</w:t>
            </w:r>
          </w:p>
          <w:p>
            <w:pPr>
              <w:spacing w:after="40" w:before="40"/>
              <w:jc w:val="left"/>
            </w:pPr>
            <w:r>
              <w:rPr>
                <w:rFonts w:ascii="Arial" w:cs="Arial" w:eastAsia="Arial" w:hAnsi="Arial"/>
                <w:b w:val="false"/>
                <w:bCs w:val="false"/>
                <w:color w:val="000000"/>
                <w:sz w:val="20"/>
                <w:szCs w:val="20"/>
              </w:rPr>
              <w:t xml:space="preserve">Pedoman internal BMP IAI STIBA Makassar tentang Standar Pelaporan Media Digital.</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Monitoring dan Pelaporan Media, SOP Penyusunan Kalender Konten Bulanan, SOP Pengembangan Konten Strategis, serta SOP Kolaborasi Internal.</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Analis Konten / Tim Media: </w:t>
            </w:r>
            <w:r>
              <w:rPr>
                <w:rFonts w:ascii="Arial" w:cs="Arial" w:eastAsia="Arial" w:hAnsi="Arial"/>
                <w:b w:val="false"/>
                <w:bCs w:val="false"/>
                <w:color w:val="000000"/>
                <w:sz w:val="20"/>
                <w:szCs w:val="20"/>
              </w:rPr>
              <w:t xml:space="preserve">Mengumpulkan, mengolah, dan menganalisis data insight dari setiap platform media sosial yang dikelola BMP.</w:t>
            </w:r>
          </w:p>
          <w:p>
            <w:pPr>
              <w:spacing w:after="40" w:before="40"/>
              <w:jc w:val="left"/>
            </w:pPr>
            <w:r>
              <w:rPr>
                <w:rFonts w:ascii="Arial" w:cs="Arial" w:eastAsia="Arial" w:hAnsi="Arial"/>
                <w:b/>
                <w:bCs/>
                <w:color w:val="000000"/>
                <w:sz w:val="20"/>
                <w:szCs w:val="20"/>
              </w:rPr>
              <w:t xml:space="preserve">Editor / Koordinator Laporan: </w:t>
            </w:r>
            <w:r>
              <w:rPr>
                <w:rFonts w:ascii="Arial" w:cs="Arial" w:eastAsia="Arial" w:hAnsi="Arial"/>
                <w:b w:val="false"/>
                <w:bCs w:val="false"/>
                <w:color w:val="000000"/>
                <w:sz w:val="20"/>
                <w:szCs w:val="20"/>
              </w:rPr>
              <w:t xml:space="preserve">Menyusun, menyunting, dan menyempurnakan laporan evaluasi berdasarkan hasil analisis data.</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Meninjau laporan evaluasi, memberikan masukan strategis, menyetujui laporan final, dan mendistribusikan kepada pihak terkait.</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Pengumpulan Data Kinerja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mengakses fitur analitik dari setiap platform (Instagram Insights, YouTube Analytics, TikTok Analytics, Meta Business Suite).</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yang dikumpulkan mencakup: jangkauan (reach), tayangan (impression), interaksi (engagement rate), pertumbuhan pengikut, dan performa konten terbaik/terburuk.</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Pengumpulan data mencakup periode satu bulan penuh (bulan sebelumnya).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Konsolidasi dan Pengolahan Data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dari semua platform dikonsolidasikan dalam spreadsheet terpadu dengan format standar.</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menghitung KPI yang telah ditetapkan dan membandingkan dengan target atau data periode sebelumnya.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Analisis dan Identifikasi Tren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Media menganalisis pola engagement: jenis konten terbaik, waktu publikasi optimal, dan tren pertumbuhan audiens per platform.</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Temuan-temuan penting dicatat sebagai dasar penyusunan rekomendasi strategis.</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Penyusunan Laporan Evaluasi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Editor/Koordinator menyusun laporan evaluasi yang mencakup: ringkasan eksekutif, analisis kinerja per platform, perbandingan dengan periode sebelumnya, temuan utama, dan rekomendasi strategis.</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disajikan dalam format yang mudah dibaca oleh pimpinan (tabel ringkasan, grafik tren, poin-poin rekomendasi).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Tinjauan dan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diserahkan kepada Kabag. Media dan Pers untuk ditinjau.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 memberikan masukan dan laporan difinalisasi berdasarkan arahan yang diberikan.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Distribusi dan Tindak Lanjut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yang telah disetujui didistribusikan kepada pihak yang relevan (pimpinan BMP dan unit terkait).</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Rekomendasi dalam laporan dijadikan acuan utama dalam perencanaan konten dan strategi media bulan berikutnya.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evaluasi final beserta data mentah disimpan dalam arsip digital bulanan yang terstruktur.</w:t>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fitur analitik seluruh platform media sosial (Instagram Insights, YouTube Analytics, TikTok Analytics, Meta Business Suite).</w:t>
            </w:r>
          </w:p>
          <w:p>
            <w:pPr>
              <w:spacing w:after="40" w:before="40"/>
              <w:jc w:val="left"/>
            </w:pPr>
            <w:r>
              <w:rPr>
                <w:rFonts w:ascii="Arial" w:cs="Arial" w:eastAsia="Arial" w:hAnsi="Arial"/>
                <w:b w:val="false"/>
                <w:bCs w:val="false"/>
                <w:color w:val="000000"/>
                <w:sz w:val="20"/>
                <w:szCs w:val="20"/>
              </w:rPr>
              <w:t xml:space="preserve">Spreadsheet atau aplikasi pengolah data (Google Sheets atau Microsoft Excel).</w:t>
            </w:r>
          </w:p>
          <w:p>
            <w:pPr>
              <w:spacing w:after="40" w:before="40"/>
              <w:jc w:val="left"/>
            </w:pPr>
            <w:r>
              <w:rPr>
                <w:rFonts w:ascii="Arial" w:cs="Arial" w:eastAsia="Arial" w:hAnsi="Arial"/>
                <w:b w:val="false"/>
                <w:bCs w:val="false"/>
                <w:color w:val="000000"/>
                <w:sz w:val="20"/>
                <w:szCs w:val="20"/>
              </w:rPr>
              <w:t xml:space="preserve">Template laporan evaluasi kinerja media sosial BMP IAI STIBA Makassar.</w:t>
            </w:r>
          </w:p>
          <w:p>
            <w:pPr>
              <w:spacing w:after="40" w:before="40"/>
              <w:jc w:val="left"/>
            </w:pPr>
            <w:r>
              <w:rPr>
                <w:rFonts w:ascii="Arial" w:cs="Arial" w:eastAsia="Arial" w:hAnsi="Arial"/>
                <w:b w:val="false"/>
                <w:bCs w:val="false"/>
                <w:color w:val="000000"/>
                <w:sz w:val="20"/>
                <w:szCs w:val="20"/>
              </w:rPr>
              <w:t xml:space="preserve">Aplikasi visualisasi data jika diperlukan (Canva, Google Data Studio, atau sejenisnya).</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data tidak valid jika pengumpulan insight tidak dilakukan secara konsisten setiap bulan.</w:t>
            </w:r>
          </w:p>
          <w:p>
            <w:pPr>
              <w:spacing w:after="40" w:before="40"/>
              <w:jc w:val="left"/>
            </w:pPr>
            <w:r>
              <w:rPr>
                <w:rFonts w:ascii="Arial" w:cs="Arial" w:eastAsia="Arial" w:hAnsi="Arial"/>
                <w:b w:val="false"/>
                <w:bCs w:val="false"/>
                <w:color w:val="000000"/>
                <w:sz w:val="20"/>
                <w:szCs w:val="20"/>
              </w:rPr>
              <w:t xml:space="preserve">Risiko laporan tidak tepat sasaran jika KPI tidak ditetapkan dengan jelas di awal periode.</w:t>
            </w:r>
          </w:p>
          <w:p>
            <w:pPr>
              <w:spacing w:after="40" w:before="40"/>
              <w:jc w:val="left"/>
            </w:pPr>
            <w:r>
              <w:rPr>
                <w:rFonts w:ascii="Arial" w:cs="Arial" w:eastAsia="Arial" w:hAnsi="Arial"/>
                <w:b w:val="false"/>
                <w:bCs w:val="false"/>
                <w:color w:val="000000"/>
                <w:sz w:val="20"/>
                <w:szCs w:val="20"/>
              </w:rPr>
              <w:t xml:space="preserve">Risiko rekomendasi tidak ditindaklanjuti jika tidak ada mekanisme follow-up yang terstruktur.</w:t>
            </w:r>
          </w:p>
          <w:p>
            <w:pPr>
              <w:spacing w:after="40" w:before="40"/>
              <w:jc w:val="left"/>
            </w:pPr>
            <w:r>
              <w:rPr>
                <w:rFonts w:ascii="Arial" w:cs="Arial" w:eastAsia="Arial" w:hAnsi="Arial"/>
                <w:b w:val="false"/>
                <w:bCs w:val="false"/>
                <w:color w:val="000000"/>
                <w:sz w:val="20"/>
                <w:szCs w:val="20"/>
              </w:rPr>
              <w:t xml:space="preserve">Risiko keterlambatan laporan jika pengumpulan dan pengolahan data tidak dimulai sejak awal bulan.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Pengumpulan Data Insight Bulanan</w:t>
            </w:r>
          </w:p>
          <w:p>
            <w:pPr>
              <w:spacing w:after="40" w:before="40"/>
              <w:jc w:val="left"/>
            </w:pPr>
            <w:r>
              <w:rPr>
                <w:rFonts w:ascii="Arial" w:cs="Arial" w:eastAsia="Arial" w:hAnsi="Arial"/>
                <w:b w:val="false"/>
                <w:bCs w:val="false"/>
                <w:color w:val="000000"/>
                <w:sz w:val="20"/>
                <w:szCs w:val="20"/>
              </w:rPr>
              <w:t xml:space="preserve">Template Laporan Evaluasi Kinerja Media Sosial</w:t>
            </w:r>
          </w:p>
          <w:p>
            <w:pPr>
              <w:spacing w:after="40" w:before="40"/>
              <w:jc w:val="left"/>
            </w:pPr>
            <w:r>
              <w:rPr>
                <w:rFonts w:ascii="Arial" w:cs="Arial" w:eastAsia="Arial" w:hAnsi="Arial"/>
                <w:b w:val="false"/>
                <w:bCs w:val="false"/>
                <w:color w:val="000000"/>
                <w:sz w:val="20"/>
                <w:szCs w:val="20"/>
              </w:rPr>
              <w:t xml:space="preserve">Formulir Rekomendasi Strategis Bulanan</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426"/>
        <w:gridCol w:w="2700"/>
        <w:gridCol w:w="15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Analis / Tim Media</w:t>
            </w:r>
          </w:p>
        </w:tc>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 Koordinator</w:t>
            </w:r>
          </w:p>
        </w:tc>
        <w:tc>
          <w:tcPr>
            <w:tcW w:type="dxa" w:w="14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Mengakses dan mengunduh data insight dari semua platform</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Data insight semua platform</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 (data bln sebelumnya)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Mengkonsolidasikan data dalam spreadsheet terpadu</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Spreadsheet data kinerja terintegrasi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ke-1</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Menghitung KPI dan membandingkan dengan target/periode sebelumnya</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KPI vs target</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ke-1</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Menganalisis pola engagement dan tren pertumbuhan audiens</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temuan dan pola analisis</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ke-2</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draft laporan evaluasi (ringkasan, analisis, rekomendasi)</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laporan evaluasi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ke-2 s.d. ke-3</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draft laporan dan memberikan masukan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Draft laporan + catatan masukan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ke-3</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Memfinalisasi laporan berdasarkan masukan Kabag.</w:t>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evaluasi final</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Minggu ke-3</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Menyetujui dan mendistribusikan laporan ke pihak terkait</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final terdistribusi</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Menjadikan rekomendasi sebagai acuan perencanaan bulan berikutnya</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Catatan rekomendasi strategis</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 berikutnya</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laporan dan data mentah ke arsip digital</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bulanan</w:t>
            </w:r>
          </w:p>
        </w:tc>
        <w:tc>
          <w:tcPr>
            <w:tcW w:type="dxa" w:w="15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Akhir bulan</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2026-05-16T11:48:33.668Z</dcterms:created>
  <dcterms:modified xsi:type="dcterms:W3CDTF">2026-05-16T11:48:33.668Z</dcterms:modified>
</cp:coreProperties>
</file>

<file path=docProps/custom.xml><?xml version="1.0" encoding="utf-8"?>
<Properties xmlns="http://schemas.openxmlformats.org/officeDocument/2006/custom-properties" xmlns:vt="http://schemas.openxmlformats.org/officeDocument/2006/docPropsVTypes"/>
</file>