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9972B" w:sz="8" w:space="4"/>
        </w:pBdr>
        <w:spacing w:after="200" w:before="360"/>
      </w:pPr>
      <w:r>
        <w:rPr>
          <w:rFonts w:ascii="Palatino Linotype" w:cs="Palatino Linotype" w:eastAsia="Palatino Linotype" w:hAnsi="Palatino Linotype"/>
          <w:b/>
          <w:bCs/>
          <w:color w:val="1B3A6B"/>
          <w:sz w:val="32"/>
          <w:szCs w:val="32"/>
        </w:rPr>
        <w:t xml:space="preserve">BAB II — MEMAHAMI STANDAR ABCD DAN INDIKATOR SMART</w:t>
      </w:r>
    </w:p>
    <w:p>
      <w:pPr>
        <w:spacing w:after="160" w:line="340"/>
        <w:jc w:val="both"/>
      </w:pPr>
      <w:r>
        <w:rPr>
          <w:rFonts w:ascii="Palatino Linotype" w:cs="Palatino Linotype" w:eastAsia="Palatino Linotype" w:hAnsi="Palatino Linotype"/>
          <w:sz w:val="22"/>
          <w:szCs w:val="22"/>
        </w:rPr>
        <w:t xml:space="preserve">Sebelum mengisi dokumen apapun, ada dua konsep yang harus dipahami dengan baik: pola ABCD dalam penulisan standar dan format SMART dalam penyusunan indikator. Keduanya bukan sekadar istilah teknis penjaminan mutu — mereka adalah kunci untuk memahami apa yang sebenarnya diminta dari BMP dan bagaimana cara membuktikannya.</w:t>
      </w:r>
    </w:p>
    <w:p>
      <w:pPr>
        <w:spacing w:after="160" w:line="340"/>
        <w:jc w:val="both"/>
      </w:pPr>
      <w:r>
        <w:rPr>
          <w:rFonts w:ascii="Palatino Linotype" w:cs="Palatino Linotype" w:eastAsia="Palatino Linotype" w:hAnsi="Palatino Linotype"/>
          <w:sz w:val="22"/>
          <w:szCs w:val="22"/>
        </w:rPr>
        <w:t xml:space="preserve">Tanpa memahami pola ABCD, seseorang akan mengisi dokumen tanpa tahu persis standar mana yang sedang dibuktikan. </w:t>
      </w:r>
      <w:r>
        <w:rPr>
          <w:rFonts w:ascii="Palatino Linotype" w:cs="Palatino Linotype" w:eastAsia="Palatino Linotype" w:hAnsi="Palatino Linotype"/>
          <w:b/>
          <w:bCs/>
          <w:sz w:val="22"/>
          <w:szCs w:val="22"/>
        </w:rPr>
        <w:t xml:space="preserve">Tanpa memahami indikator SMART, seseorang akan mengumpulkan dokumen yang salah — banyak tetapi tidak relevan.</w:t>
      </w:r>
      <w:r>
        <w:rPr>
          <w:rFonts w:ascii="Palatino Linotype" w:cs="Palatino Linotype" w:eastAsia="Palatino Linotype" w:hAnsi="Palatino Linotype"/>
          <w:sz w:val="22"/>
          <w:szCs w:val="22"/>
        </w:rPr>
        <w:t xml:space="preserve"> Bab ini membangun pemahaman yang menjadi fondasi seluruh bab sesudahnya.</w:t>
      </w:r>
    </w:p>
    <w:p>
      <w:pPr>
        <w:spacing w:after="8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2.1  Pola ABCD: Cara Membaca Standar BMP</w:t>
      </w:r>
    </w:p>
    <w:p>
      <w:pPr>
        <w:spacing w:after="160" w:line="340"/>
        <w:jc w:val="both"/>
      </w:pPr>
      <w:r>
        <w:rPr>
          <w:rFonts w:ascii="Palatino Linotype" w:cs="Palatino Linotype" w:eastAsia="Palatino Linotype" w:hAnsi="Palatino Linotype"/>
          <w:sz w:val="22"/>
          <w:szCs w:val="22"/>
        </w:rPr>
        <w:t xml:space="preserve">PPM menetapkan bahwa setiap pernyataan standar harus mengikuti pola ABCD — sebuah kerangka yang memastikan standar dapat dibaca secara konsisten, tidak ambigu, dan dapat diaudit. Setiap huruf mewakili satu komponen yang wajib hadir dalam pernyataan standar.</w:t>
      </w:r>
    </w:p>
    <w:p>
      <w:pPr>
        <w:spacing w:after="60"/>
      </w:pPr>
      <w:r>
        <w:rPr>
          <w:rFonts w:ascii="Palatino Linotype" w:cs="Palatino Linotype" w:eastAsia="Palatino Linotype" w:hAnsi="Palatino Linotype"/>
          <w:sz w:val="22"/>
          <w:szCs w:val="22"/>
        </w:rPr>
        <w:t xml:space="preserve"/>
      </w:r>
    </w:p>
    <w:p>
      <w:pPr>
        <w:pBdr>
          <w:bottom w:val="single" w:color="CCCCCC" w:sz="3" w:space="3"/>
        </w:pBdr>
        <w:spacing w:after="60" w:before="240"/>
      </w:pPr>
      <w:r>
        <w:rPr>
          <w:rFonts w:ascii="Palatino Linotype" w:cs="Palatino Linotype" w:eastAsia="Palatino Linotype" w:hAnsi="Palatino Linotype"/>
          <w:b/>
          <w:bCs/>
          <w:color w:val="C9972B"/>
          <w:sz w:val="28"/>
          <w:szCs w:val="28"/>
        </w:rPr>
        <w:t xml:space="preserve">A — </w:t>
      </w:r>
      <w:r>
        <w:rPr>
          <w:rFonts w:ascii="Palatino Linotype" w:cs="Palatino Linotype" w:eastAsia="Palatino Linotype" w:hAnsi="Palatino Linotype"/>
          <w:b/>
          <w:bCs/>
          <w:color w:val="1B3A6B"/>
          <w:sz w:val="28"/>
          <w:szCs w:val="28"/>
        </w:rPr>
        <w:t xml:space="preserve">Subjek</w:t>
      </w:r>
    </w:p>
    <w:p>
      <w:pPr>
        <w:spacing w:after="60"/>
      </w:pPr>
      <w:r>
        <w:rPr>
          <w:rFonts w:ascii="Palatino Linotype" w:cs="Palatino Linotype" w:eastAsia="Palatino Linotype" w:hAnsi="Palatino Linotype"/>
          <w:color w:val="444444"/>
          <w:sz w:val="21"/>
          <w:szCs w:val="21"/>
        </w:rPr>
        <w:t xml:space="preserve">Menyebut siapa yang bertanggung jawab melaksanakan standar ini. Dalam konteks BMP, subjeknya selalu "Bagian Media dan Pers" atau "Bagian Media &amp; Pers".</w:t>
      </w:r>
    </w:p>
    <w:p>
      <w:pPr>
        <w:spacing w:after="180"/>
      </w:pPr>
      <w:r>
        <w:rPr>
          <w:rFonts w:ascii="Palatino Linotype" w:cs="Palatino Linotype" w:eastAsia="Palatino Linotype" w:hAnsi="Palatino Linotype"/>
          <w:b/>
          <w:bCs/>
          <w:color w:val="1B3A6B"/>
          <w:sz w:val="21"/>
          <w:szCs w:val="21"/>
        </w:rPr>
        <w:t xml:space="preserve">Contoh dalam standar BMP: </w:t>
      </w:r>
      <w:r>
        <w:rPr>
          <w:rFonts w:ascii="Palatino Linotype" w:cs="Palatino Linotype" w:eastAsia="Palatino Linotype" w:hAnsi="Palatino Linotype"/>
          <w:i/>
          <w:iCs/>
          <w:color w:val="333333"/>
          <w:sz w:val="21"/>
          <w:szCs w:val="21"/>
        </w:rPr>
        <w:t xml:space="preserve">"Bagian Media dan Pers..."</w:t>
      </w:r>
    </w:p>
    <w:p>
      <w:pPr>
        <w:pBdr>
          <w:bottom w:val="single" w:color="CCCCCC" w:sz="3" w:space="3"/>
        </w:pBdr>
        <w:spacing w:after="60" w:before="240"/>
      </w:pPr>
      <w:r>
        <w:rPr>
          <w:rFonts w:ascii="Palatino Linotype" w:cs="Palatino Linotype" w:eastAsia="Palatino Linotype" w:hAnsi="Palatino Linotype"/>
          <w:b/>
          <w:bCs/>
          <w:color w:val="C9972B"/>
          <w:sz w:val="28"/>
          <w:szCs w:val="28"/>
        </w:rPr>
        <w:t xml:space="preserve">B — </w:t>
      </w:r>
      <w:r>
        <w:rPr>
          <w:rFonts w:ascii="Palatino Linotype" w:cs="Palatino Linotype" w:eastAsia="Palatino Linotype" w:hAnsi="Palatino Linotype"/>
          <w:b/>
          <w:bCs/>
          <w:color w:val="1B3A6B"/>
          <w:sz w:val="28"/>
          <w:szCs w:val="28"/>
        </w:rPr>
        <w:t xml:space="preserve">Kata Kerja / Kewajiban</w:t>
      </w:r>
    </w:p>
    <w:p>
      <w:pPr>
        <w:spacing w:after="60"/>
      </w:pPr>
      <w:r>
        <w:rPr>
          <w:rFonts w:ascii="Palatino Linotype" w:cs="Palatino Linotype" w:eastAsia="Palatino Linotype" w:hAnsi="Palatino Linotype"/>
          <w:color w:val="444444"/>
          <w:sz w:val="21"/>
          <w:szCs w:val="21"/>
        </w:rPr>
        <w:t xml:space="preserve">Menyebut apa yang wajib dilakukan oleh subjek. Kata kerja di sini selalu diawali dengan kata "wajib" untuk menunjukkan bahwa ini adalah kewajiban, bukan pilihan.</w:t>
      </w:r>
    </w:p>
    <w:p>
      <w:pPr>
        <w:spacing w:after="180"/>
      </w:pPr>
      <w:r>
        <w:rPr>
          <w:rFonts w:ascii="Palatino Linotype" w:cs="Palatino Linotype" w:eastAsia="Palatino Linotype" w:hAnsi="Palatino Linotype"/>
          <w:b/>
          <w:bCs/>
          <w:color w:val="1B3A6B"/>
          <w:sz w:val="21"/>
          <w:szCs w:val="21"/>
        </w:rPr>
        <w:t xml:space="preserve">Contoh dalam standar BMP: </w:t>
      </w:r>
      <w:r>
        <w:rPr>
          <w:rFonts w:ascii="Palatino Linotype" w:cs="Palatino Linotype" w:eastAsia="Palatino Linotype" w:hAnsi="Palatino Linotype"/>
          <w:i/>
          <w:iCs/>
          <w:color w:val="333333"/>
          <w:sz w:val="21"/>
          <w:szCs w:val="21"/>
        </w:rPr>
        <w:t xml:space="preserve">"...wajib memproduksi...", "...wajib menerapkan...", "...wajib menerbitkan..."</w:t>
      </w:r>
    </w:p>
    <w:p>
      <w:pPr>
        <w:pBdr>
          <w:bottom w:val="single" w:color="CCCCCC" w:sz="3" w:space="3"/>
        </w:pBdr>
        <w:spacing w:after="60" w:before="240"/>
      </w:pPr>
      <w:r>
        <w:rPr>
          <w:rFonts w:ascii="Palatino Linotype" w:cs="Palatino Linotype" w:eastAsia="Palatino Linotype" w:hAnsi="Palatino Linotype"/>
          <w:b/>
          <w:bCs/>
          <w:color w:val="C9972B"/>
          <w:sz w:val="28"/>
          <w:szCs w:val="28"/>
        </w:rPr>
        <w:t xml:space="preserve">C — </w:t>
      </w:r>
      <w:r>
        <w:rPr>
          <w:rFonts w:ascii="Palatino Linotype" w:cs="Palatino Linotype" w:eastAsia="Palatino Linotype" w:hAnsi="Palatino Linotype"/>
          <w:b/>
          <w:bCs/>
          <w:color w:val="1B3A6B"/>
          <w:sz w:val="28"/>
          <w:szCs w:val="28"/>
        </w:rPr>
        <w:t xml:space="preserve">Objek</w:t>
      </w:r>
    </w:p>
    <w:p>
      <w:pPr>
        <w:spacing w:after="60"/>
      </w:pPr>
      <w:r>
        <w:rPr>
          <w:rFonts w:ascii="Palatino Linotype" w:cs="Palatino Linotype" w:eastAsia="Palatino Linotype" w:hAnsi="Palatino Linotype"/>
          <w:color w:val="444444"/>
          <w:sz w:val="21"/>
          <w:szCs w:val="21"/>
        </w:rPr>
        <w:t xml:space="preserve">Menyebut apa yang dikerjakan — produk, program, atau bidang kerja yang menjadi sasaran kewajiban tersebut.</w:t>
      </w:r>
    </w:p>
    <w:p>
      <w:pPr>
        <w:spacing w:after="180"/>
      </w:pPr>
      <w:r>
        <w:rPr>
          <w:rFonts w:ascii="Palatino Linotype" w:cs="Palatino Linotype" w:eastAsia="Palatino Linotype" w:hAnsi="Palatino Linotype"/>
          <w:b/>
          <w:bCs/>
          <w:color w:val="1B3A6B"/>
          <w:sz w:val="21"/>
          <w:szCs w:val="21"/>
        </w:rPr>
        <w:t xml:space="preserve">Contoh dalam standar BMP: </w:t>
      </w:r>
      <w:r>
        <w:rPr>
          <w:rFonts w:ascii="Palatino Linotype" w:cs="Palatino Linotype" w:eastAsia="Palatino Linotype" w:hAnsi="Palatino Linotype"/>
          <w:i/>
          <w:iCs/>
          <w:color w:val="333333"/>
          <w:sz w:val="21"/>
          <w:szCs w:val="21"/>
        </w:rPr>
        <w:t xml:space="preserve">"...konten digital dan berita...", "...Kendali Mutu Visual...", "...Jurnal Akhbar STIBA..."</w:t>
      </w:r>
    </w:p>
    <w:p>
      <w:pPr>
        <w:pBdr>
          <w:bottom w:val="single" w:color="CCCCCC" w:sz="3" w:space="3"/>
        </w:pBdr>
        <w:spacing w:after="60" w:before="240"/>
      </w:pPr>
      <w:r>
        <w:rPr>
          <w:rFonts w:ascii="Palatino Linotype" w:cs="Palatino Linotype" w:eastAsia="Palatino Linotype" w:hAnsi="Palatino Linotype"/>
          <w:b/>
          <w:bCs/>
          <w:color w:val="C9972B"/>
          <w:sz w:val="28"/>
          <w:szCs w:val="28"/>
        </w:rPr>
        <w:t xml:space="preserve">D — </w:t>
      </w:r>
      <w:r>
        <w:rPr>
          <w:rFonts w:ascii="Palatino Linotype" w:cs="Palatino Linotype" w:eastAsia="Palatino Linotype" w:hAnsi="Palatino Linotype"/>
          <w:b/>
          <w:bCs/>
          <w:color w:val="1B3A6B"/>
          <w:sz w:val="28"/>
          <w:szCs w:val="28"/>
        </w:rPr>
        <w:t xml:space="preserve">Kondisi / Ukuran Keberhasilan</w:t>
      </w:r>
    </w:p>
    <w:p>
      <w:pPr>
        <w:spacing w:after="60"/>
      </w:pPr>
      <w:r>
        <w:rPr>
          <w:rFonts w:ascii="Palatino Linotype" w:cs="Palatino Linotype" w:eastAsia="Palatino Linotype" w:hAnsi="Palatino Linotype"/>
          <w:color w:val="444444"/>
          <w:sz w:val="21"/>
          <w:szCs w:val="21"/>
        </w:rPr>
        <w:t xml:space="preserve">Menyebut angka, frekuensi, kualitas, atau batas waktu yang menentukan apakah kewajiban sudah terpenuhi. Inilah yang membuat standar dapat diaudit.</w:t>
      </w:r>
    </w:p>
    <w:p>
      <w:pPr>
        <w:spacing w:after="180"/>
      </w:pPr>
      <w:r>
        <w:rPr>
          <w:rFonts w:ascii="Palatino Linotype" w:cs="Palatino Linotype" w:eastAsia="Palatino Linotype" w:hAnsi="Palatino Linotype"/>
          <w:b/>
          <w:bCs/>
          <w:color w:val="1B3A6B"/>
          <w:sz w:val="21"/>
          <w:szCs w:val="21"/>
        </w:rPr>
        <w:t xml:space="preserve">Contoh dalam standar BMP: </w:t>
      </w:r>
      <w:r>
        <w:rPr>
          <w:rFonts w:ascii="Palatino Linotype" w:cs="Palatino Linotype" w:eastAsia="Palatino Linotype" w:hAnsi="Palatino Linotype"/>
          <w:i/>
          <w:iCs/>
          <w:color w:val="333333"/>
          <w:sz w:val="21"/>
          <w:szCs w:val="21"/>
        </w:rPr>
        <w:t xml:space="preserve">"...minimal 30 konten per bulan...", "...tingkat kelulusan 100%...", "...setiap akhir tahun..."</w:t>
      </w:r>
    </w:p>
    <w:p>
      <w:pPr>
        <w:spacing w:after="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Ketika empat komponen ini digabung, terbentuklah satu pernyataan standar yang utuh: </w:t>
      </w:r>
      <w:r>
        <w:rPr>
          <w:rFonts w:ascii="Palatino Linotype" w:cs="Palatino Linotype" w:eastAsia="Palatino Linotype" w:hAnsi="Palatino Linotype"/>
          <w:b/>
          <w:bCs/>
          <w:i/>
          <w:iCs/>
          <w:sz w:val="22"/>
          <w:szCs w:val="22"/>
        </w:rPr>
        <w:t xml:space="preserve">"Bagian Media dan Pers (A) wajib memproduksi (B) konten digital dan berita (C) secara konsisten minimal 30 konten dan 20 rilis berita per bulan (D)."</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2.2  Bedah Seluruh Standar BMP dengan Pola ABCD</w:t>
      </w:r>
    </w:p>
    <w:p>
      <w:pPr>
        <w:spacing w:after="160" w:line="340"/>
        <w:jc w:val="both"/>
      </w:pPr>
      <w:r>
        <w:rPr>
          <w:rFonts w:ascii="Palatino Linotype" w:cs="Palatino Linotype" w:eastAsia="Palatino Linotype" w:hAnsi="Palatino Linotype"/>
          <w:sz w:val="22"/>
          <w:szCs w:val="22"/>
        </w:rPr>
        <w:t xml:space="preserve">Berikut adalah seluruh 14 standar BMP hasil perbaikan PPM yang sudah dipilah berdasarkan empat komponen ABCD. Tabel ini berguna sebagai referensi cepat untuk memahami apa yang dituntut dari setiap standar sebelum menyiapkan dokumen buktinya.</w:t>
      </w:r>
    </w:p>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40"/>
        <w:gridCol w:w="1600"/>
        <w:gridCol w:w="1400"/>
        <w:gridCol w:w="1700"/>
        <w:gridCol w:w="2778"/>
      </w:tblGrid>
      <w:tr>
        <w:trPr>
          <w:tblHeader/>
        </w:trPr>
        <w:tc>
          <w:tcPr>
            <w:tcW w:type="dxa" w:w="34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No</w:t>
            </w:r>
          </w:p>
        </w:tc>
        <w:tc>
          <w:tcPr>
            <w:tcW w:type="dxa" w:w="16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A — Subjek</w:t>
            </w:r>
          </w:p>
        </w:tc>
        <w:tc>
          <w:tcPr>
            <w:tcW w:type="dxa" w:w="14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B — Kata Kerja</w:t>
            </w:r>
          </w:p>
        </w:tc>
        <w:tc>
          <w:tcPr>
            <w:tcW w:type="dxa" w:w="17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C — Objek</w:t>
            </w:r>
          </w:p>
        </w:tc>
        <w:tc>
          <w:tcPr>
            <w:tcW w:type="dxa" w:w="277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D — Kondisi / Ukuran</w:t>
            </w:r>
          </w:p>
        </w:tc>
      </w:tr>
      <w:tr>
        <w:tc>
          <w:tcPr>
            <w:tcW w:type="dxa" w:w="34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w:t>
            </w:r>
          </w:p>
        </w:tc>
        <w:tc>
          <w:tcPr>
            <w:tcW w:type="dxa" w:w="16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memproduksi</w:t>
            </w:r>
          </w:p>
        </w:tc>
        <w:tc>
          <w:tcPr>
            <w:tcW w:type="dxa" w:w="1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konten digital dan berita</w:t>
            </w:r>
          </w:p>
        </w:tc>
        <w:tc>
          <w:tcPr>
            <w:tcW w:type="dxa" w:w="277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secara konsisten minimal 30 konten dan 20 rilis berita per bulan</w:t>
            </w:r>
          </w:p>
        </w:tc>
      </w:tr>
      <w:tr>
        <w:tc>
          <w:tcPr>
            <w:tcW w:type="dxa" w:w="34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2</w:t>
            </w:r>
          </w:p>
        </w:tc>
        <w:tc>
          <w:tcPr>
            <w:tcW w:type="dxa" w:w="16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menerapkan</w:t>
            </w:r>
          </w:p>
        </w:tc>
        <w:tc>
          <w:tcPr>
            <w:tcW w:type="dxa" w:w="17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Kendali Mutu Visual</w:t>
            </w:r>
          </w:p>
        </w:tc>
        <w:tc>
          <w:tcPr>
            <w:tcW w:type="dxa" w:w="277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berdasarkan Brand Guideline dengan tingkat kelulusan 100%</w:t>
            </w:r>
          </w:p>
        </w:tc>
      </w:tr>
      <w:tr>
        <w:tc>
          <w:tcPr>
            <w:tcW w:type="dxa" w:w="34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3</w:t>
            </w:r>
          </w:p>
        </w:tc>
        <w:tc>
          <w:tcPr>
            <w:tcW w:type="dxa" w:w="16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menyusun</w:t>
            </w:r>
          </w:p>
        </w:tc>
        <w:tc>
          <w:tcPr>
            <w:tcW w:type="dxa" w:w="1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Rilis Berita dan Artikel Resmi</w:t>
            </w:r>
          </w:p>
        </w:tc>
        <w:tc>
          <w:tcPr>
            <w:tcW w:type="dxa" w:w="277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secara akurat minimal 20 rilis setiap bulan</w:t>
            </w:r>
          </w:p>
        </w:tc>
      </w:tr>
      <w:tr>
        <w:tc>
          <w:tcPr>
            <w:tcW w:type="dxa" w:w="34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4</w:t>
            </w:r>
          </w:p>
        </w:tc>
        <w:tc>
          <w:tcPr>
            <w:tcW w:type="dxa" w:w="16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menayangkan</w:t>
            </w:r>
          </w:p>
        </w:tc>
        <w:tc>
          <w:tcPr>
            <w:tcW w:type="dxa" w:w="17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Program STIBA Podcast</w:t>
            </w:r>
          </w:p>
        </w:tc>
        <w:tc>
          <w:tcPr>
            <w:tcW w:type="dxa" w:w="277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secara berkala minimal 1 episode setiap bulan</w:t>
            </w:r>
          </w:p>
        </w:tc>
      </w:tr>
      <w:tr>
        <w:tc>
          <w:tcPr>
            <w:tcW w:type="dxa" w:w="34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5</w:t>
            </w:r>
          </w:p>
        </w:tc>
        <w:tc>
          <w:tcPr>
            <w:tcW w:type="dxa" w:w="16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mengevaluasi</w:t>
            </w:r>
          </w:p>
        </w:tc>
        <w:tc>
          <w:tcPr>
            <w:tcW w:type="dxa" w:w="1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Kinerja Platform Digital</w:t>
            </w:r>
          </w:p>
        </w:tc>
        <w:tc>
          <w:tcPr>
            <w:tcW w:type="dxa" w:w="277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melalui laporan analitik dengan pertumbuhan engagement positif</w:t>
            </w:r>
          </w:p>
        </w:tc>
      </w:tr>
      <w:tr>
        <w:tc>
          <w:tcPr>
            <w:tcW w:type="dxa" w:w="34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6</w:t>
            </w:r>
          </w:p>
        </w:tc>
        <w:tc>
          <w:tcPr>
            <w:tcW w:type="dxa" w:w="16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mengelola</w:t>
            </w:r>
          </w:p>
        </w:tc>
        <w:tc>
          <w:tcPr>
            <w:tcW w:type="dxa" w:w="17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Perpustakaan Arsip Digital</w:t>
            </w:r>
          </w:p>
        </w:tc>
        <w:tc>
          <w:tcPr>
            <w:tcW w:type="dxa" w:w="277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dengan keterisian minimal 10 aset foto/video berkualitas tinggi per bulan</w:t>
            </w:r>
          </w:p>
        </w:tc>
      </w:tr>
      <w:tr>
        <w:tc>
          <w:tcPr>
            <w:tcW w:type="dxa" w:w="34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7</w:t>
            </w:r>
          </w:p>
        </w:tc>
        <w:tc>
          <w:tcPr>
            <w:tcW w:type="dxa" w:w="16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menyusun</w:t>
            </w:r>
          </w:p>
        </w:tc>
        <w:tc>
          <w:tcPr>
            <w:tcW w:type="dxa" w:w="1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Paket Informasi Pers (Press Kit)</w:t>
            </w:r>
          </w:p>
        </w:tc>
        <w:tc>
          <w:tcPr>
            <w:tcW w:type="dxa" w:w="277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secara lengkap minimal 2 kali per tahun</w:t>
            </w:r>
          </w:p>
        </w:tc>
      </w:tr>
      <w:tr>
        <w:tc>
          <w:tcPr>
            <w:tcW w:type="dxa" w:w="34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8</w:t>
            </w:r>
          </w:p>
        </w:tc>
        <w:tc>
          <w:tcPr>
            <w:tcW w:type="dxa" w:w="16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menerbitkan</w:t>
            </w:r>
          </w:p>
        </w:tc>
        <w:tc>
          <w:tcPr>
            <w:tcW w:type="dxa" w:w="17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Jurnal Berita Tahunan Akhbar STIBA</w:t>
            </w:r>
          </w:p>
        </w:tc>
        <w:tc>
          <w:tcPr>
            <w:tcW w:type="dxa" w:w="277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secara tepat waktu dalam format cetak dan digital setiap akhir tahun</w:t>
            </w:r>
          </w:p>
        </w:tc>
      </w:tr>
      <w:tr>
        <w:tc>
          <w:tcPr>
            <w:tcW w:type="dxa" w:w="34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9</w:t>
            </w:r>
          </w:p>
        </w:tc>
        <w:tc>
          <w:tcPr>
            <w:tcW w:type="dxa" w:w="16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melakukan</w:t>
            </w:r>
          </w:p>
        </w:tc>
        <w:tc>
          <w:tcPr>
            <w:tcW w:type="dxa" w:w="1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Peliputan Kegiatan Strategis</w:t>
            </w:r>
          </w:p>
        </w:tc>
        <w:tc>
          <w:tcPr>
            <w:tcW w:type="dxa" w:w="277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dengan tingkat kehadiran dan laporan 100% tepat waktu</w:t>
            </w:r>
          </w:p>
        </w:tc>
      </w:tr>
      <w:tr>
        <w:tc>
          <w:tcPr>
            <w:tcW w:type="dxa" w:w="34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10</w:t>
            </w:r>
          </w:p>
        </w:tc>
        <w:tc>
          <w:tcPr>
            <w:tcW w:type="dxa" w:w="16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melakukan</w:t>
            </w:r>
          </w:p>
        </w:tc>
        <w:tc>
          <w:tcPr>
            <w:tcW w:type="dxa" w:w="17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Evaluasi Kinerja Media &amp; KPI</w:t>
            </w:r>
          </w:p>
        </w:tc>
        <w:tc>
          <w:tcPr>
            <w:tcW w:type="dxa" w:w="277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secara periodik setiap bulan dengan tindak lanjut rekomendasi 100%</w:t>
            </w:r>
          </w:p>
        </w:tc>
      </w:tr>
      <w:tr>
        <w:tc>
          <w:tcPr>
            <w:tcW w:type="dxa" w:w="34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11</w:t>
            </w:r>
          </w:p>
        </w:tc>
        <w:tc>
          <w:tcPr>
            <w:tcW w:type="dxa" w:w="16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meningkatkan</w:t>
            </w:r>
          </w:p>
        </w:tc>
        <w:tc>
          <w:tcPr>
            <w:tcW w:type="dxa" w:w="1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Kapasitas Kompetensi Tim</w:t>
            </w:r>
          </w:p>
        </w:tc>
        <w:tc>
          <w:tcPr>
            <w:tcW w:type="dxa" w:w="277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melalui pelatihan teknis minimal 1 kali per semester</w:t>
            </w:r>
          </w:p>
        </w:tc>
      </w:tr>
      <w:tr>
        <w:tc>
          <w:tcPr>
            <w:tcW w:type="dxa" w:w="34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12</w:t>
            </w:r>
          </w:p>
        </w:tc>
        <w:tc>
          <w:tcPr>
            <w:tcW w:type="dxa" w:w="16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mengelola</w:t>
            </w:r>
          </w:p>
        </w:tc>
        <w:tc>
          <w:tcPr>
            <w:tcW w:type="dxa" w:w="17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Sarana dan Aplikasi Produksi Multimedia</w:t>
            </w:r>
          </w:p>
        </w:tc>
        <w:tc>
          <w:tcPr>
            <w:tcW w:type="dxa" w:w="277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guna menjamin kelancaran operasional sesuai spesifikasi teknis</w:t>
            </w:r>
          </w:p>
        </w:tc>
      </w:tr>
      <w:tr>
        <w:tc>
          <w:tcPr>
            <w:tcW w:type="dxa" w:w="34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13</w:t>
            </w:r>
          </w:p>
        </w:tc>
        <w:tc>
          <w:tcPr>
            <w:tcW w:type="dxa" w:w="16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mengkoordinasikan</w:t>
            </w:r>
          </w:p>
        </w:tc>
        <w:tc>
          <w:tcPr>
            <w:tcW w:type="dxa" w:w="1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Kolaborasi Internal Lintas Unit</w:t>
            </w:r>
          </w:p>
        </w:tc>
        <w:tc>
          <w:tcPr>
            <w:tcW w:type="dxa" w:w="277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minimal 4 kali per bulan untuk sinkronisasi konten</w:t>
            </w:r>
          </w:p>
        </w:tc>
      </w:tr>
      <w:tr>
        <w:tc>
          <w:tcPr>
            <w:tcW w:type="dxa" w:w="34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14</w:t>
            </w:r>
          </w:p>
        </w:tc>
        <w:tc>
          <w:tcPr>
            <w:tcW w:type="dxa" w:w="16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Bagian Media &amp; Pers</w:t>
            </w:r>
          </w:p>
        </w:tc>
        <w:tc>
          <w:tcPr>
            <w:tcW w:type="dxa" w:w="1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wajib mengelola</w:t>
            </w:r>
          </w:p>
        </w:tc>
        <w:tc>
          <w:tcPr>
            <w:tcW w:type="dxa" w:w="17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Analisis Kinerja Media</w:t>
            </w:r>
          </w:p>
        </w:tc>
        <w:tc>
          <w:tcPr>
            <w:tcW w:type="dxa" w:w="277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melalui evaluasi bulanan sebagai dasar pengembangan strategi</w:t>
            </w:r>
          </w:p>
        </w:tc>
      </w:tr>
    </w:tbl>
    <w:p>
      <w:pPr>
        <w:spacing w:after="1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Perhatikan bahwa komponen A (Subjek) selalu sama untuk semua standar BMP. </w:t>
      </w:r>
      <w:r>
        <w:rPr>
          <w:rFonts w:ascii="Palatino Linotype" w:cs="Palatino Linotype" w:eastAsia="Palatino Linotype" w:hAnsi="Palatino Linotype"/>
          <w:b/>
          <w:bCs/>
          <w:sz w:val="22"/>
          <w:szCs w:val="22"/>
        </w:rPr>
        <w:t xml:space="preserve">Yang membedakan satu standar dari standar lainnya adalah komponen B, C, dan D — ketiganya harus dibaca bersama-sama untuk memahami apa tepatnya yang harus dibuktikan.</w:t>
      </w:r>
    </w:p>
    <w:p>
      <w:pPr>
        <w:spacing w:after="20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2.3  Indikator SMART: Cara Mengukur Ketercapaian Standar</w:t>
      </w:r>
    </w:p>
    <w:p>
      <w:pPr>
        <w:spacing w:after="160" w:line="340"/>
        <w:jc w:val="both"/>
      </w:pPr>
      <w:r>
        <w:rPr>
          <w:rFonts w:ascii="Palatino Linotype" w:cs="Palatino Linotype" w:eastAsia="Palatino Linotype" w:hAnsi="Palatino Linotype"/>
          <w:sz w:val="22"/>
          <w:szCs w:val="22"/>
        </w:rPr>
        <w:t xml:space="preserve">Jika standar ABCD menjawab pertanyaan "apa yang harus dilakukan", maka indikator SMART menjawab pertanyaan "bagaimana kita tahu standar itu sudah tercapai". Indikator adalah jembatan antara pernyataan standar dan dokumen bukti — tanpa indikator yang tepat, kita tidak tahu dokumen apa yang harus dikumpulkan.</w:t>
      </w:r>
    </w:p>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40"/>
        <w:gridCol w:w="1400"/>
        <w:gridCol w:w="2100"/>
        <w:gridCol w:w="3978"/>
      </w:tblGrid>
      <w:tr>
        <w:trPr>
          <w:tblHeader/>
        </w:trPr>
        <w:tc>
          <w:tcPr>
            <w:tcW w:type="dxa" w:w="34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
            </w:r>
          </w:p>
        </w:tc>
        <w:tc>
          <w:tcPr>
            <w:tcW w:type="dxa" w:w="14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Kriteria</w:t>
            </w:r>
          </w:p>
        </w:tc>
        <w:tc>
          <w:tcPr>
            <w:tcW w:type="dxa" w:w="21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Artinya</w:t>
            </w:r>
          </w:p>
        </w:tc>
        <w:tc>
          <w:tcPr>
            <w:tcW w:type="dxa" w:w="397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Contoh dalam Standar BMP</w:t>
            </w:r>
          </w:p>
        </w:tc>
      </w:tr>
      <w:tr>
        <w:tc>
          <w:tcPr>
            <w:tcW w:type="dxa" w:w="34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S</w:t>
            </w:r>
          </w:p>
        </w:tc>
        <w:tc>
          <w:tcPr>
            <w:tcW w:type="dxa" w:w="1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Specific (Spesifik)</w:t>
            </w:r>
          </w:p>
        </w:tc>
        <w:tc>
          <w:tcPr>
            <w:tcW w:type="dxa" w:w="21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Indikator menyebut secara pasti apa yang diukur</w:t>
            </w:r>
          </w:p>
        </w:tc>
        <w:tc>
          <w:tcPr>
            <w:tcW w:type="dxa" w:w="397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Bukan: "ada laporan analitik" — melainkan: "tersedianya 1 laporan evaluasi bulanan yang memuat data reach, engagement, dan pertumbuhan pengikut"</w:t>
            </w:r>
          </w:p>
        </w:tc>
      </w:tr>
      <w:tr>
        <w:tc>
          <w:tcPr>
            <w:tcW w:type="dxa" w:w="34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M</w:t>
            </w:r>
          </w:p>
        </w:tc>
        <w:tc>
          <w:tcPr>
            <w:tcW w:type="dxa" w:w="1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Measurable (Terukur)</w:t>
            </w:r>
          </w:p>
        </w:tc>
        <w:tc>
          <w:tcPr>
            <w:tcW w:type="dxa" w:w="21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Ada angka atau kondisi yang bisa dikonfirmasi dengan data</w:t>
            </w:r>
          </w:p>
        </w:tc>
        <w:tc>
          <w:tcPr>
            <w:tcW w:type="dxa" w:w="397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Bukan: "konten berkualitas" — melainkan: "persentase konten yang sesuai standar warna, logo, dan tipografi institusi sebelum dipublikasikan"</w:t>
            </w:r>
          </w:p>
        </w:tc>
      </w:tr>
      <w:tr>
        <w:tc>
          <w:tcPr>
            <w:tcW w:type="dxa" w:w="34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A</w:t>
            </w:r>
          </w:p>
        </w:tc>
        <w:tc>
          <w:tcPr>
            <w:tcW w:type="dxa" w:w="1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Achievable (Dapat Dicapai)</w:t>
            </w:r>
          </w:p>
        </w:tc>
        <w:tc>
          <w:tcPr>
            <w:tcW w:type="dxa" w:w="21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Target realistis sesuai kapasitas tim</w:t>
            </w:r>
          </w:p>
        </w:tc>
        <w:tc>
          <w:tcPr>
            <w:tcW w:type="dxa" w:w="397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Bukan: "seluruh media nasional meliput STIBA" — melainkan: "tersedianya paket press kit yang siap didistribusikan ke jurnalis maksimal H-1 kegiatan"</w:t>
            </w:r>
          </w:p>
        </w:tc>
      </w:tr>
      <w:tr>
        <w:tc>
          <w:tcPr>
            <w:tcW w:type="dxa" w:w="34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R</w:t>
            </w:r>
          </w:p>
        </w:tc>
        <w:tc>
          <w:tcPr>
            <w:tcW w:type="dxa" w:w="1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Relevant (Relevan)</w:t>
            </w:r>
          </w:p>
        </w:tc>
        <w:tc>
          <w:tcPr>
            <w:tcW w:type="dxa" w:w="21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Indikator benar-benar mencerminkan keberhasilan standar</w:t>
            </w:r>
          </w:p>
        </w:tc>
        <w:tc>
          <w:tcPr>
            <w:tcW w:type="dxa" w:w="397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Bukan: "staf hadir di kantor" (tidak relevan) — melainkan: "persentase kehadiran staf dalam pelatihan serta peningkatan skor kompetensi teknis"</w:t>
            </w:r>
          </w:p>
        </w:tc>
      </w:tr>
      <w:tr>
        <w:tc>
          <w:tcPr>
            <w:tcW w:type="dxa" w:w="34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T</w:t>
            </w:r>
          </w:p>
        </w:tc>
        <w:tc>
          <w:tcPr>
            <w:tcW w:type="dxa" w:w="1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Time-bound (Berbatas Waktu)</w:t>
            </w:r>
          </w:p>
        </w:tc>
        <w:tc>
          <w:tcPr>
            <w:tcW w:type="dxa" w:w="21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Ada periode yang jelas: per hari, per minggu, per bulan, per semester, per tahun</w:t>
            </w:r>
          </w:p>
        </w:tc>
        <w:tc>
          <w:tcPr>
            <w:tcW w:type="dxa" w:w="397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Bukan: "akan dievaluasi" — melainkan: "tersedianya 1 laporan evaluasi setiap bulan, diserahkan paling lambat tanggal 5 bulan berikutnya"</w:t>
            </w:r>
          </w:p>
        </w:tc>
      </w:tr>
    </w:tbl>
    <w:p>
      <w:pPr>
        <w:spacing w:after="1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Kelima kriteria SMART harus dipenuhi sekaligus — bukan salah satu saja. </w:t>
      </w:r>
      <w:r>
        <w:rPr>
          <w:rFonts w:ascii="Palatino Linotype" w:cs="Palatino Linotype" w:eastAsia="Palatino Linotype" w:hAnsi="Palatino Linotype"/>
          <w:b/>
          <w:bCs/>
          <w:sz w:val="22"/>
          <w:szCs w:val="22"/>
        </w:rPr>
        <w:t xml:space="preserve">Indikator yang spesifik tetapi tidak memiliki batas waktu masih belum SMART. Indikator yang terukur tetapi tidak relevan dengan standar juga tidak valid.</w:t>
      </w:r>
      <w:r>
        <w:rPr>
          <w:rFonts w:ascii="Palatino Linotype" w:cs="Palatino Linotype" w:eastAsia="Palatino Linotype" w:hAnsi="Palatino Linotype"/>
          <w:sz w:val="22"/>
          <w:szCs w:val="22"/>
        </w:rPr>
        <w:t xml:space="preserve"> Cara mudah menguji apakah sebuah indikator sudah SMART: bayangkan seorang auditor yang baru pertama kali mendengar standar ini. Apakah ia bisa langsung tahu dokumen apa yang harus ditunjukkan, dan kapan batas waktunya?</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2.4  Hubungan Standar, Indikator, Dokumen, Strategi, dan Dampak</w:t>
      </w:r>
    </w:p>
    <w:p>
      <w:pPr>
        <w:spacing w:after="160" w:line="340"/>
        <w:jc w:val="both"/>
      </w:pPr>
      <w:r>
        <w:rPr>
          <w:rFonts w:ascii="Palatino Linotype" w:cs="Palatino Linotype" w:eastAsia="Palatino Linotype" w:hAnsi="Palatino Linotype"/>
          <w:sz w:val="22"/>
          <w:szCs w:val="22"/>
        </w:rPr>
        <w:t xml:space="preserve">Dalam sistem SPMI, setiap standar tidak berdiri sendiri. Ia selalu berpasangan dengan indikator, dokumen bukti, strategi pelaksanaan, dan narasi dampak. Memahami hubungan antara kelima komponen ini penting agar Anda tidak bingung membedakan mana yang termasuk "dokumen bukti" dan mana yang bukan.</w:t>
      </w:r>
    </w:p>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100"/>
        <w:gridCol w:w="2000"/>
        <w:gridCol w:w="2200"/>
        <w:gridCol w:w="2518"/>
      </w:tblGrid>
      <w:tr>
        <w:trPr>
          <w:tblHeader/>
        </w:trPr>
        <w:tc>
          <w:tcPr>
            <w:tcW w:type="dxa" w:w="11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Komponen</w:t>
            </w:r>
          </w:p>
        </w:tc>
        <w:tc>
          <w:tcPr>
            <w:tcW w:type="dxa" w:w="20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Fungsi</w:t>
            </w:r>
          </w:p>
        </w:tc>
        <w:tc>
          <w:tcPr>
            <w:tcW w:type="dxa" w:w="22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Contoh (Standar 1)</w:t>
            </w:r>
          </w:p>
        </w:tc>
        <w:tc>
          <w:tcPr>
            <w:tcW w:type="dxa" w:w="251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Catatan</w:t>
            </w:r>
          </w:p>
        </w:tc>
      </w:tr>
      <w:tr>
        <w:tc>
          <w:tcPr>
            <w:tcW w:type="dxa" w:w="11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Standar (ABCD)</w:t>
            </w:r>
          </w:p>
        </w:tc>
        <w:tc>
          <w:tcPr>
            <w:tcW w:type="dxa" w:w="2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Pernyataan yang menetapkan apa yang wajib dilakukan BMP</w:t>
            </w:r>
          </w:p>
        </w:tc>
        <w:tc>
          <w:tcPr>
            <w:tcW w:type="dxa" w:w="2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"BMP wajib memproduksi konten digital minimal 30 konten per bulan di minimal 3 platform aktif"</w:t>
            </w:r>
          </w:p>
        </w:tc>
        <w:tc>
          <w:tcPr>
            <w:tcW w:type="dxa" w:w="25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Ditetapkan bersama PPM, tidak berubah kecuali ada revisi standar</w:t>
            </w:r>
          </w:p>
        </w:tc>
      </w:tr>
      <w:tr>
        <w:tc>
          <w:tcPr>
            <w:tcW w:type="dxa" w:w="11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Indikator (SMART)</w:t>
            </w:r>
          </w:p>
        </w:tc>
        <w:tc>
          <w:tcPr>
            <w:tcW w:type="dxa" w:w="2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Ukuran yang membuktikan standar tercapai</w:t>
            </w:r>
          </w:p>
        </w:tc>
        <w:tc>
          <w:tcPr>
            <w:tcW w:type="dxa" w:w="2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"Persentase pemenuhan kuota konten bulanan (100%) dan keberlanjutan jadwal posting di IG, FB, dan Web"</w:t>
            </w:r>
          </w:p>
        </w:tc>
        <w:tc>
          <w:tcPr>
            <w:tcW w:type="dxa" w:w="25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Menjawab pertanyaan: bagaimana kita tahu standar sudah tercapai?</w:t>
            </w:r>
          </w:p>
        </w:tc>
      </w:tr>
      <w:tr>
        <w:tc>
          <w:tcPr>
            <w:tcW w:type="dxa" w:w="11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Dokumen Bukti</w:t>
            </w:r>
          </w:p>
        </w:tc>
        <w:tc>
          <w:tcPr>
            <w:tcW w:type="dxa" w:w="2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Rekam jejak nyata yang membuktikan indikator terpenuhi</w:t>
            </w:r>
          </w:p>
        </w:tc>
        <w:tc>
          <w:tcPr>
            <w:tcW w:type="dxa" w:w="2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Editorial Plan (Kalender Konten), Laporan Log-Publikasi, Rekapitulasi Tautan Konten</w:t>
            </w:r>
          </w:p>
        </w:tc>
        <w:tc>
          <w:tcPr>
            <w:tcW w:type="dxa" w:w="25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Menjawab pertanyaan: apa yang bisa ditunjukkan kepada auditor sebagai bukti?</w:t>
            </w:r>
          </w:p>
        </w:tc>
      </w:tr>
      <w:tr>
        <w:tc>
          <w:tcPr>
            <w:tcW w:type="dxa" w:w="11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Strategi</w:t>
            </w:r>
          </w:p>
        </w:tc>
        <w:tc>
          <w:tcPr>
            <w:tcW w:type="dxa" w:w="2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Cara atau pendekatan yang digunakan untuk mencapai standar</w:t>
            </w:r>
          </w:p>
        </w:tc>
        <w:tc>
          <w:tcPr>
            <w:tcW w:type="dxa" w:w="2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"Implementasi Content Scheduling berbasis analitik waktu puncak kunjungan audiens"</w:t>
            </w:r>
          </w:p>
        </w:tc>
        <w:tc>
          <w:tcPr>
            <w:tcW w:type="dxa" w:w="25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Menjelaskan bagaimana — bukan bukti bahwa standar tercapai</w:t>
            </w:r>
          </w:p>
        </w:tc>
      </w:tr>
      <w:tr>
        <w:tc>
          <w:tcPr>
            <w:tcW w:type="dxa" w:w="11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Dampak</w:t>
            </w:r>
          </w:p>
        </w:tc>
        <w:tc>
          <w:tcPr>
            <w:tcW w:type="dxa" w:w="2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Perubahan nyata yang terjadi karena standar dilaksanakan</w:t>
            </w:r>
          </w:p>
        </w:tc>
        <w:tc>
          <w:tcPr>
            <w:tcW w:type="dxa" w:w="2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"Menjamin kehadiran institusi secara digital untuk memperluas jangkauan dakwah dan informasi"</w:t>
            </w:r>
          </w:p>
        </w:tc>
        <w:tc>
          <w:tcPr>
            <w:tcW w:type="dxa" w:w="25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Menjelaskan mengapa standar ini penting bagi institusi</w:t>
            </w:r>
          </w:p>
        </w:tc>
      </w:tr>
    </w:tbl>
    <w:p>
      <w:pPr>
        <w:spacing w:after="1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Dari tabel di atas, yang menjadi fokus panduan ini adalah komponen ketiga: </w:t>
      </w:r>
      <w:r>
        <w:rPr>
          <w:rFonts w:ascii="Palatino Linotype" w:cs="Palatino Linotype" w:eastAsia="Palatino Linotype" w:hAnsi="Palatino Linotype"/>
          <w:b/>
          <w:bCs/>
          <w:sz w:val="22"/>
          <w:szCs w:val="22"/>
        </w:rPr>
        <w:t xml:space="preserve">dokumen bukti.</w:t>
      </w:r>
      <w:r>
        <w:rPr>
          <w:rFonts w:ascii="Palatino Linotype" w:cs="Palatino Linotype" w:eastAsia="Palatino Linotype" w:hAnsi="Palatino Linotype"/>
          <w:sz w:val="22"/>
          <w:szCs w:val="22"/>
        </w:rPr>
        <w:t xml:space="preserve"> Strategi adalah cara kerja — bukan bukti. Dampak adalah narasi — bukan bukti. Bukti adalah dokumen nyata yang dapat ditunjukkan, diperiksa, dan dikonfirmasi oleh auditor.</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2.5  Cara Menentukan Dokumen Bukti yang Tepat</w:t>
      </w:r>
    </w:p>
    <w:p>
      <w:pPr>
        <w:spacing w:after="160" w:line="340"/>
        <w:jc w:val="both"/>
      </w:pPr>
      <w:r>
        <w:rPr>
          <w:rFonts w:ascii="Palatino Linotype" w:cs="Palatino Linotype" w:eastAsia="Palatino Linotype" w:hAnsi="Palatino Linotype"/>
          <w:sz w:val="22"/>
          <w:szCs w:val="22"/>
        </w:rPr>
        <w:t xml:space="preserve">Setiap indikator SMART memberi petunjuk langsung tentang dokumen bukti apa yang harus disiapkan. Cara membacanya: perhatikan kata kerja dan objek dalam indikator, lalu tanyakan — rekam jejak seperti apa yang dapat membuktikan bahwa kondisi ini sudah terpenuhi?</w:t>
      </w:r>
    </w:p>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800"/>
        <w:gridCol w:w="5018"/>
      </w:tblGrid>
      <w:tr>
        <w:trPr>
          <w:tblHeader/>
        </w:trPr>
        <w:tc>
          <w:tcPr>
            <w:tcW w:type="dxa" w:w="28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Jenis Indikator</w:t>
            </w:r>
          </w:p>
        </w:tc>
        <w:tc>
          <w:tcPr>
            <w:tcW w:type="dxa" w:w="501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Cara Mengisi Dokumen Bukti yang Benar</w:t>
            </w:r>
          </w:p>
        </w:tc>
      </w:tr>
      <w:tr>
        <w:tc>
          <w:tcPr>
            <w:tcW w:type="dxa" w:w="2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Indikator menyebut angka minimum (misal: ≥30 konten/bulan)</w:t>
            </w:r>
          </w:p>
        </w:tc>
        <w:tc>
          <w:tcPr>
            <w:tcW w:type="dxa" w:w="5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Dokumen harus bisa dijumlah dan hasilnya mencapai angka tersebut. Logbook Unggahan yang memuat 30 baris entri per bulan adalah bukti valid.</w:t>
            </w:r>
          </w:p>
        </w:tc>
      </w:tr>
      <w:tr>
        <w:tc>
          <w:tcPr>
            <w:tcW w:type="dxa" w:w="2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Indikator menyebut persentase (misal: 100% lulus kendali mutu)</w:t>
            </w:r>
          </w:p>
        </w:tc>
        <w:tc>
          <w:tcPr>
            <w:tcW w:type="dxa" w:w="5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Dokumen harus menunjukkan denominator (total) dan numerator (yang lulus). Checklist Pre-Publish 30 lembar untuk 30 konten, semua bertanda Lulus, membuktikan 100%.</w:t>
            </w:r>
          </w:p>
        </w:tc>
      </w:tr>
      <w:tr>
        <w:tc>
          <w:tcPr>
            <w:tcW w:type="dxa" w:w="2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Indikator menyebut ketersediaan dokumen (misal: tersedianya 1 laporan/bulan)</w:t>
            </w:r>
          </w:p>
        </w:tc>
        <w:tc>
          <w:tcPr>
            <w:tcW w:type="dxa" w:w="5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Dokumen itu sendiri adalah buktinya — asalkan memuat komponen yang disebutkan dalam indikator (data reach, engagement, pertumbuhan pengikut).</w:t>
            </w:r>
          </w:p>
        </w:tc>
      </w:tr>
      <w:tr>
        <w:tc>
          <w:tcPr>
            <w:tcW w:type="dxa" w:w="2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Indikator menyebut batas waktu (misal: H-1 kegiatan, tanggal 5)</w:t>
            </w:r>
          </w:p>
        </w:tc>
        <w:tc>
          <w:tcPr>
            <w:tcW w:type="dxa" w:w="5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Dokumen harus menunjukkan tanggal pengerjaan atau tanggal serah terima. Metadata file atau tanda terima email dapat menjadi bukti waktu.</w:t>
            </w:r>
          </w:p>
        </w:tc>
      </w:tr>
      <w:tr>
        <w:tc>
          <w:tcPr>
            <w:tcW w:type="dxa" w:w="2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Indikator menyebut kondisi kualitas (misal: standar audio-visual jernih, narasumber kompeten)</w:t>
            </w:r>
          </w:p>
        </w:tc>
        <w:tc>
          <w:tcPr>
            <w:tcW w:type="dxa" w:w="5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Dokumen pendukung: checklist teknis produksi, CV narasumber, atau penilaian review internal yang terdokumentasi.</w:t>
            </w:r>
          </w:p>
        </w:tc>
      </w:tr>
    </w:tbl>
    <w:p>
      <w:pPr>
        <w:spacing w:after="1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Prinsip yang perlu selalu diingat: </w:t>
      </w:r>
      <w:r>
        <w:rPr>
          <w:rFonts w:ascii="Palatino Linotype" w:cs="Palatino Linotype" w:eastAsia="Palatino Linotype" w:hAnsi="Palatino Linotype"/>
          <w:b/>
          <w:bCs/>
          <w:sz w:val="22"/>
          <w:szCs w:val="22"/>
        </w:rPr>
        <w:t xml:space="preserve">dokumen bukti harus menjawab indikator, bukan hanya standar.</w:t>
      </w:r>
      <w:r>
        <w:rPr>
          <w:rFonts w:ascii="Palatino Linotype" w:cs="Palatino Linotype" w:eastAsia="Palatino Linotype" w:hAnsi="Palatino Linotype"/>
          <w:sz w:val="22"/>
          <w:szCs w:val="22"/>
        </w:rPr>
        <w:t xml:space="preserve"> Standar boleh umum, tetapi indikator spesifik — dan dokumen harus se-spesifik indikatornya. Jika indikator menyebut "data reach dan engagement", maka laporan yang hanya memuat jumlah followers saja tidak cukup membuktikan indikator tersebut terpenuhi.</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2.6  Contoh Lengkap: Membaca Standar 1 dari Awal sampai Dokumen</w:t>
      </w:r>
    </w:p>
    <w:p>
      <w:pPr>
        <w:spacing w:after="160" w:line="340"/>
        <w:jc w:val="both"/>
      </w:pPr>
      <w:r>
        <w:rPr>
          <w:rFonts w:ascii="Palatino Linotype" w:cs="Palatino Linotype" w:eastAsia="Palatino Linotype" w:hAnsi="Palatino Linotype"/>
          <w:sz w:val="22"/>
          <w:szCs w:val="22"/>
        </w:rPr>
        <w:t xml:space="preserve">Berikut adalah contoh cara membaca satu standar secara menyeluruh — dari pernyataan ABCD hingga dokumen bukti yang perlu disiapkan. Contoh ini menggunakan Standar 1 (Produksi Konten Digital).</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Pernyataan Standar (ABCD)</w:t>
      </w:r>
    </w:p>
    <w:p>
      <w:pPr>
        <w:spacing w:after="160" w:line="340"/>
        <w:jc w:val="both"/>
      </w:pPr>
      <w:r>
        <w:rPr>
          <w:rFonts w:ascii="Palatino Linotype" w:cs="Palatino Linotype" w:eastAsia="Palatino Linotype" w:hAnsi="Palatino Linotype"/>
          <w:b/>
          <w:bCs/>
          <w:sz w:val="22"/>
          <w:szCs w:val="22"/>
        </w:rPr>
        <w:t xml:space="preserve">"Bagian Media &amp; Pers </w:t>
      </w:r>
      <w:r>
        <w:rPr>
          <w:rFonts w:ascii="Palatino Linotype" w:cs="Palatino Linotype" w:eastAsia="Palatino Linotype" w:hAnsi="Palatino Linotype"/>
          <w:sz w:val="22"/>
          <w:szCs w:val="22"/>
        </w:rPr>
        <w:t xml:space="preserve">(A)</w:t>
      </w:r>
      <w:r>
        <w:rPr>
          <w:rFonts w:ascii="Palatino Linotype" w:cs="Palatino Linotype" w:eastAsia="Palatino Linotype" w:hAnsi="Palatino Linotype"/>
          <w:b/>
          <w:bCs/>
          <w:sz w:val="22"/>
          <w:szCs w:val="22"/>
        </w:rPr>
        <w:t xml:space="preserve"> wajib memastikan </w:t>
      </w:r>
      <w:r>
        <w:rPr>
          <w:rFonts w:ascii="Palatino Linotype" w:cs="Palatino Linotype" w:eastAsia="Palatino Linotype" w:hAnsi="Palatino Linotype"/>
          <w:sz w:val="22"/>
          <w:szCs w:val="22"/>
        </w:rPr>
        <w:t xml:space="preserve">(B)</w:t>
      </w:r>
      <w:r>
        <w:rPr>
          <w:rFonts w:ascii="Palatino Linotype" w:cs="Palatino Linotype" w:eastAsia="Palatino Linotype" w:hAnsi="Palatino Linotype"/>
          <w:b/>
          <w:bCs/>
          <w:sz w:val="22"/>
          <w:szCs w:val="22"/>
        </w:rPr>
        <w:t xml:space="preserve"> publikasi konten digital </w:t>
      </w:r>
      <w:r>
        <w:rPr>
          <w:rFonts w:ascii="Palatino Linotype" w:cs="Palatino Linotype" w:eastAsia="Palatino Linotype" w:hAnsi="Palatino Linotype"/>
          <w:sz w:val="22"/>
          <w:szCs w:val="22"/>
        </w:rPr>
        <w:t xml:space="preserve">(C)</w:t>
      </w:r>
      <w:r>
        <w:rPr>
          <w:rFonts w:ascii="Palatino Linotype" w:cs="Palatino Linotype" w:eastAsia="Palatino Linotype" w:hAnsi="Palatino Linotype"/>
          <w:b/>
          <w:bCs/>
          <w:sz w:val="22"/>
          <w:szCs w:val="22"/>
        </w:rPr>
        <w:t xml:space="preserve"> terlaksana secara rutin minimal 30 konten per bulan pada minimal 3 platform aktif.</w:t>
      </w:r>
      <w:r>
        <w:rPr>
          <w:rFonts w:ascii="Palatino Linotype" w:cs="Palatino Linotype" w:eastAsia="Palatino Linotype" w:hAnsi="Palatino Linotype"/>
          <w:sz w:val="22"/>
          <w:szCs w:val="22"/>
        </w:rPr>
        <w:t xml:space="preserve"> (D)"</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Indikator SMART</w:t>
      </w:r>
    </w:p>
    <w:p>
      <w:pPr>
        <w:spacing w:after="160" w:line="340"/>
        <w:jc w:val="both"/>
      </w:pPr>
      <w:r>
        <w:rPr>
          <w:rFonts w:ascii="Palatino Linotype" w:cs="Palatino Linotype" w:eastAsia="Palatino Linotype" w:hAnsi="Palatino Linotype"/>
          <w:sz w:val="22"/>
          <w:szCs w:val="22"/>
        </w:rPr>
        <w:t xml:space="preserve">"Persentase pemenuhan kuota konten bulanan (100%) dan keberlanjutan jadwal posting di Instagram, Facebook, dan Website."</w:t>
      </w:r>
    </w:p>
    <w:p>
      <w:pPr>
        <w:spacing w:after="160" w:line="340"/>
        <w:jc w:val="both"/>
      </w:pPr>
      <w:r>
        <w:rPr>
          <w:rFonts w:ascii="Palatino Linotype" w:cs="Palatino Linotype" w:eastAsia="Palatino Linotype" w:hAnsi="Palatino Linotype"/>
          <w:sz w:val="22"/>
          <w:szCs w:val="22"/>
        </w:rPr>
        <w:t xml:space="preserve">Cara membaca indikator ini:</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Specific: </w:t>
      </w:r>
      <w:r>
        <w:rPr>
          <w:rFonts w:ascii="Palatino Linotype" w:cs="Palatino Linotype" w:eastAsia="Palatino Linotype" w:hAnsi="Palatino Linotype"/>
          <w:sz w:val="22"/>
          <w:szCs w:val="22"/>
        </w:rPr>
        <w:t xml:space="preserve">kuota konten bulanan, tiga platform spesifik disebutkan</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Measurable: </w:t>
      </w:r>
      <w:r>
        <w:rPr>
          <w:rFonts w:ascii="Palatino Linotype" w:cs="Palatino Linotype" w:eastAsia="Palatino Linotype" w:hAnsi="Palatino Linotype"/>
          <w:sz w:val="22"/>
          <w:szCs w:val="22"/>
        </w:rPr>
        <w:t xml:space="preserve">persentase = dapat dihitung dari jumlah konten yang dipublikasikan dibagi target 30</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Achievable: </w:t>
      </w:r>
      <w:r>
        <w:rPr>
          <w:rFonts w:ascii="Palatino Linotype" w:cs="Palatino Linotype" w:eastAsia="Palatino Linotype" w:hAnsi="Palatino Linotype"/>
          <w:sz w:val="22"/>
          <w:szCs w:val="22"/>
        </w:rPr>
        <w:t xml:space="preserve">30 konten dari 3 platform dalam sebulan adalah target yang realistis</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Relevant: </w:t>
      </w:r>
      <w:r>
        <w:rPr>
          <w:rFonts w:ascii="Palatino Linotype" w:cs="Palatino Linotype" w:eastAsia="Palatino Linotype" w:hAnsi="Palatino Linotype"/>
          <w:sz w:val="22"/>
          <w:szCs w:val="22"/>
        </w:rPr>
        <w:t xml:space="preserve">langsung mencerminkan standar produksi konten</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Time-bound: </w:t>
      </w:r>
      <w:r>
        <w:rPr>
          <w:rFonts w:ascii="Palatino Linotype" w:cs="Palatino Linotype" w:eastAsia="Palatino Linotype" w:hAnsi="Palatino Linotype"/>
          <w:sz w:val="22"/>
          <w:szCs w:val="22"/>
        </w:rPr>
        <w:t xml:space="preserve">per bulan — ada batas waktunya yang jelas</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Dokumen Bukti yang Dibutuhkan</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Editorial Plan (Kalender Konten Bulanan): </w:t>
      </w:r>
      <w:r>
        <w:rPr>
          <w:rFonts w:ascii="Palatino Linotype" w:cs="Palatino Linotype" w:eastAsia="Palatino Linotype" w:hAnsi="Palatino Linotype"/>
          <w:sz w:val="22"/>
          <w:szCs w:val="22"/>
        </w:rPr>
        <w:t xml:space="preserve">menunjukkan bahwa 30 konten sudah direncanakan sejak awal bulan di 3 platform</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Laporan Log-Publikasi: </w:t>
      </w:r>
      <w:r>
        <w:rPr>
          <w:rFonts w:ascii="Palatino Linotype" w:cs="Palatino Linotype" w:eastAsia="Palatino Linotype" w:hAnsi="Palatino Linotype"/>
          <w:sz w:val="22"/>
          <w:szCs w:val="22"/>
        </w:rPr>
        <w:t xml:space="preserve">log harian yang mencatat setiap konten yang diunggah, termasuk tanggal, platform, dan tautan</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Rekapitulasi Tautan Konten: </w:t>
      </w:r>
      <w:r>
        <w:rPr>
          <w:rFonts w:ascii="Palatino Linotype" w:cs="Palatino Linotype" w:eastAsia="Palatino Linotype" w:hAnsi="Palatino Linotype"/>
          <w:sz w:val="22"/>
          <w:szCs w:val="22"/>
        </w:rPr>
        <w:t xml:space="preserve">daftar URL konten yang sudah tayang, dapat diklik untuk diverifikasi oleh auditor</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Strategi (bukan dokumen bukti)</w:t>
      </w:r>
    </w:p>
    <w:p>
      <w:pPr>
        <w:spacing w:after="160" w:line="340"/>
        <w:jc w:val="both"/>
      </w:pPr>
      <w:r>
        <w:rPr>
          <w:rFonts w:ascii="Palatino Linotype" w:cs="Palatino Linotype" w:eastAsia="Palatino Linotype" w:hAnsi="Palatino Linotype"/>
          <w:sz w:val="22"/>
          <w:szCs w:val="22"/>
        </w:rPr>
        <w:t xml:space="preserve">"Implementasi Content Scheduling berbasis analitik waktu puncak kunjungan audiens." — Ini adalah cara kerja BMP, bukan bukti bahwa standar tercapai. Strategi tidak perlu ditunjukkan kepada auditor sebagai bukti, meski boleh dicantumkan dalam narasi laporan.</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Dampak (bukan dokumen bukti)</w:t>
      </w:r>
    </w:p>
    <w:p>
      <w:pPr>
        <w:spacing w:after="160" w:line="340"/>
        <w:jc w:val="both"/>
      </w:pPr>
      <w:r>
        <w:rPr>
          <w:rFonts w:ascii="Palatino Linotype" w:cs="Palatino Linotype" w:eastAsia="Palatino Linotype" w:hAnsi="Palatino Linotype"/>
          <w:sz w:val="22"/>
          <w:szCs w:val="22"/>
        </w:rPr>
        <w:t xml:space="preserve">"Menjamin kehadiran institusi secara digital untuk memperluas jangkauan dakwah dan informasi." — Ini adalah narasi yang menjelaskan mengapa standar ini penting. Ia memperkuat konteks standar dalam dokumen SPMI, tetapi bukan dokumen yang ditunjukkan saat audit.</w:t>
      </w:r>
    </w:p>
    <w:p>
      <w:pPr>
        <w:spacing w:after="20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2.7  Kesalahan Umum dalam Menyiapkan Dokumen Bukti</w:t>
      </w:r>
    </w:p>
    <w:p>
      <w:pPr>
        <w:spacing w:after="160" w:line="340"/>
        <w:jc w:val="both"/>
      </w:pPr>
      <w:r>
        <w:rPr>
          <w:rFonts w:ascii="Palatino Linotype" w:cs="Palatino Linotype" w:eastAsia="Palatino Linotype" w:hAnsi="Palatino Linotype"/>
          <w:sz w:val="22"/>
          <w:szCs w:val="22"/>
        </w:rPr>
        <w:t xml:space="preserve">Ada beberapa pola kesalahan yang berulang dalam penyiapan dokumen bukti SPMI. Memahaminya sekarang akan menghindarkan Anda dari kerja ulang yang melelahkan menjelang audit.</w:t>
      </w:r>
    </w:p>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700"/>
        <w:gridCol w:w="2400"/>
        <w:gridCol w:w="3718"/>
      </w:tblGrid>
      <w:tr>
        <w:trPr>
          <w:tblHeader/>
        </w:trPr>
        <w:tc>
          <w:tcPr>
            <w:tcW w:type="dxa" w:w="17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Kesalahan Umum</w:t>
            </w:r>
          </w:p>
        </w:tc>
        <w:tc>
          <w:tcPr>
            <w:tcW w:type="dxa" w:w="24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Mengapa Bermasalah</w:t>
            </w:r>
          </w:p>
        </w:tc>
        <w:tc>
          <w:tcPr>
            <w:tcW w:type="dxa" w:w="371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Solusi</w:t>
            </w:r>
          </w:p>
        </w:tc>
      </w:tr>
      <w:tr>
        <w:tc>
          <w:tcPr>
            <w:tcW w:type="dxa" w:w="1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Dokumen dibuat mundur (backdated) setelah audit tiba</w:t>
            </w:r>
          </w:p>
        </w:tc>
        <w:tc>
          <w:tcPr>
            <w:tcW w:type="dxa" w:w="2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Auditor dapat mendeteksi ini dari metadata file, ketidakkonsistenan tanggal, dan isi yang terlalu sempurna. Selain tidak valid, ini melanggar integritas akademik.</w:t>
            </w:r>
          </w:p>
        </w:tc>
        <w:tc>
          <w:tcPr>
            <w:tcW w:type="dxa" w:w="37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Isi dokumen saat kegiatan terjadi. Bahkan jika tidak sempurna, dokumen yang jujur lebih baik dari dokumen yang dipoles mundur.</w:t>
            </w:r>
          </w:p>
        </w:tc>
      </w:tr>
      <w:tr>
        <w:tc>
          <w:tcPr>
            <w:tcW w:type="dxa" w:w="17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Dokumen ada tetapi tidak disimpan di lokasi yang disepakati</w:t>
            </w:r>
          </w:p>
        </w:tc>
        <w:tc>
          <w:tcPr>
            <w:tcW w:type="dxa" w:w="2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Auditor tidak akan mencari dokumen di folder laptop masing-masing anggota. Dokumen yang tidak ditemukan dianggap tidak ada.</w:t>
            </w:r>
          </w:p>
        </w:tc>
        <w:tc>
          <w:tcPr>
            <w:tcW w:type="dxa" w:w="37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Gunakan sistem penyimpanan terpusat (Bab 15) dan pastikan semua anggota tim tahu cara menggunakannya.</w:t>
            </w:r>
          </w:p>
        </w:tc>
      </w:tr>
      <w:tr>
        <w:tc>
          <w:tcPr>
            <w:tcW w:type="dxa" w:w="1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Satu dokumen digunakan untuk semua standar tanpa spesifikasi</w:t>
            </w:r>
          </w:p>
        </w:tc>
        <w:tc>
          <w:tcPr>
            <w:tcW w:type="dxa" w:w="2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Laporan umum yang mencampurkan semua hal tidak bisa menjadi bukti standar spesifik. Auditor perlu melihat keterkaitan langsung antara dokumen dan standar.</w:t>
            </w:r>
          </w:p>
        </w:tc>
        <w:tc>
          <w:tcPr>
            <w:tcW w:type="dxa" w:w="37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Setiap dokumen harus dapat dikaitkan secara eksplisit dengan standar tertentu. Template di bab 3-14 sudah dirancang untuk ini.</w:t>
            </w:r>
          </w:p>
        </w:tc>
      </w:tr>
      <w:tr>
        <w:tc>
          <w:tcPr>
            <w:tcW w:type="dxa" w:w="17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Dokumen ada tetapi tidak ditandatangani atau tidak ada identitas penanggung jawab</w:t>
            </w:r>
          </w:p>
        </w:tc>
        <w:tc>
          <w:tcPr>
            <w:tcW w:type="dxa" w:w="24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Dokumen tanpa tanda tangan atau nama penanggung jawab tidak dapat diverifikasi keasliannya.</w:t>
            </w:r>
          </w:p>
        </w:tc>
        <w:tc>
          <w:tcPr>
            <w:tcW w:type="dxa" w:w="37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Setiap dokumen harus mencantumkan nama pengisi, jabatan, dan tanggal. Tanda tangan fisik atau digital keduanya valid.</w:t>
            </w:r>
          </w:p>
        </w:tc>
      </w:tr>
      <w:tr>
        <w:tc>
          <w:tcPr>
            <w:tcW w:type="dxa" w:w="1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Mengisi dokumen hanya saat menjelang audit</w:t>
            </w:r>
          </w:p>
        </w:tc>
        <w:tc>
          <w:tcPr>
            <w:tcW w:type="dxa" w:w="24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Dokumen yang diisi serentak dalam waktu singkat memiliki pola yang mudah terdeteksi: tanggal yang berdekatan, isi yang terlalu seragam, tidak ada variasi yang wajar.</w:t>
            </w:r>
          </w:p>
        </w:tc>
        <w:tc>
          <w:tcPr>
            <w:tcW w:type="dxa" w:w="37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Buat jadwal pengisian dokumen yang menyatu dengan ritme kerja harian dan bulanan (lihat Bab 16).</w:t>
            </w:r>
          </w:p>
        </w:tc>
      </w:tr>
    </w:tbl>
    <w:p>
      <w:pPr>
        <w:spacing w:after="1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Satu prinsip yang merangkum semuanya: </w:t>
      </w:r>
      <w:r>
        <w:rPr>
          <w:rFonts w:ascii="Palatino Linotype" w:cs="Palatino Linotype" w:eastAsia="Palatino Linotype" w:hAnsi="Palatino Linotype"/>
          <w:b/>
          <w:bCs/>
          <w:sz w:val="22"/>
          <w:szCs w:val="22"/>
        </w:rPr>
        <w:t xml:space="preserve">dokumen SPMI yang baik adalah dokumen yang diisi saat pekerjaan terjadi, disimpan di tempat yang disepakati, dan dapat ditemukan dalam hitungan menit ketika auditor memintanya.</w:t>
      </w:r>
      <w:r>
        <w:rPr>
          <w:rFonts w:ascii="Palatino Linotype" w:cs="Palatino Linotype" w:eastAsia="Palatino Linotype" w:hAnsi="Palatino Linotype"/>
          <w:sz w:val="22"/>
          <w:szCs w:val="22"/>
        </w:rPr>
        <w:t xml:space="preserve"> Tidak lebih, tidak kurang.</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2.8  Ringkasan: Daftar Periksa Sebelum Mengisi Dokumen</w:t>
      </w:r>
    </w:p>
    <w:p>
      <w:pPr>
        <w:spacing w:after="160" w:line="340"/>
        <w:jc w:val="both"/>
      </w:pPr>
      <w:r>
        <w:rPr>
          <w:rFonts w:ascii="Palatino Linotype" w:cs="Palatino Linotype" w:eastAsia="Palatino Linotype" w:hAnsi="Palatino Linotype"/>
          <w:sz w:val="22"/>
          <w:szCs w:val="22"/>
        </w:rPr>
        <w:t xml:space="preserve">Sebelum mulai mengisi atau membuat dokumen bukti apapun, gunakan daftar periksa berikut untuk memastikan dokumen yang akan dibuat benar-benar valid sebagai bukti SPMI.</w:t>
      </w:r>
    </w:p>
    <w:p>
      <w:pPr>
        <w:spacing w:after="40"/>
      </w:pPr>
      <w:r>
        <w:rPr>
          <w:rFonts w:ascii="Palatino Linotype" w:cs="Palatino Linotype" w:eastAsia="Palatino Linotype" w:hAnsi="Palatino Linotype"/>
          <w:sz w:val="22"/>
          <w:szCs w:val="22"/>
        </w:rPr>
        <w:t xml:space="preserve"/>
      </w:r>
    </w:p>
    <w:p>
      <w:pPr>
        <w:pStyle w:val="ListParagraph"/>
        <w:numPr>
          <w:ilvl w:val="0"/>
          <w:numId w:val="2"/>
        </w:numPr>
        <w:spacing w:after="100" w:line="320"/>
      </w:pPr>
      <w:r>
        <w:rPr>
          <w:rFonts w:ascii="Palatino Linotype" w:cs="Palatino Linotype" w:eastAsia="Palatino Linotype" w:hAnsi="Palatino Linotype"/>
          <w:sz w:val="22"/>
          <w:szCs w:val="22"/>
        </w:rPr>
        <w:t xml:space="preserve">Saya tahu dokumen ini untuk membuktikan standar nomor berapa</w:t>
      </w:r>
    </w:p>
    <w:p>
      <w:pPr>
        <w:pStyle w:val="ListParagraph"/>
        <w:numPr>
          <w:ilvl w:val="0"/>
          <w:numId w:val="2"/>
        </w:numPr>
        <w:spacing w:after="100" w:line="320"/>
      </w:pPr>
      <w:r>
        <w:rPr>
          <w:rFonts w:ascii="Palatino Linotype" w:cs="Palatino Linotype" w:eastAsia="Palatino Linotype" w:hAnsi="Palatino Linotype"/>
          <w:sz w:val="22"/>
          <w:szCs w:val="22"/>
        </w:rPr>
        <w:t xml:space="preserve">Saya sudah membaca indikator SMART dari standar tersebut</w:t>
      </w:r>
    </w:p>
    <w:p>
      <w:pPr>
        <w:pStyle w:val="ListParagraph"/>
        <w:numPr>
          <w:ilvl w:val="0"/>
          <w:numId w:val="2"/>
        </w:numPr>
        <w:spacing w:after="100" w:line="320"/>
      </w:pPr>
      <w:r>
        <w:rPr>
          <w:rFonts w:ascii="Palatino Linotype" w:cs="Palatino Linotype" w:eastAsia="Palatino Linotype" w:hAnsi="Palatino Linotype"/>
          <w:sz w:val="22"/>
          <w:szCs w:val="22"/>
        </w:rPr>
        <w:t xml:space="preserve">Dokumen yang akan saya isi memuat komponen yang disebutkan dalam indikator (angka, kondisi, batas waktu)</w:t>
      </w:r>
    </w:p>
    <w:p>
      <w:pPr>
        <w:pStyle w:val="ListParagraph"/>
        <w:numPr>
          <w:ilvl w:val="0"/>
          <w:numId w:val="2"/>
        </w:numPr>
        <w:spacing w:after="100" w:line="320"/>
      </w:pPr>
      <w:r>
        <w:rPr>
          <w:rFonts w:ascii="Palatino Linotype" w:cs="Palatino Linotype" w:eastAsia="Palatino Linotype" w:hAnsi="Palatino Linotype"/>
          <w:sz w:val="22"/>
          <w:szCs w:val="22"/>
        </w:rPr>
        <w:t xml:space="preserve">Dokumen akan mencantumkan tanggal pengisian, nama pengisi, dan jabatan</w:t>
      </w:r>
    </w:p>
    <w:p>
      <w:pPr>
        <w:pStyle w:val="ListParagraph"/>
        <w:numPr>
          <w:ilvl w:val="0"/>
          <w:numId w:val="2"/>
        </w:numPr>
        <w:spacing w:after="100" w:line="320"/>
      </w:pPr>
      <w:r>
        <w:rPr>
          <w:rFonts w:ascii="Palatino Linotype" w:cs="Palatino Linotype" w:eastAsia="Palatino Linotype" w:hAnsi="Palatino Linotype"/>
          <w:sz w:val="22"/>
          <w:szCs w:val="22"/>
        </w:rPr>
        <w:t xml:space="preserve">Setelah selesai, dokumen akan disimpan di folder arsip resmi BMP, bukan di perangkat pribadi</w:t>
      </w:r>
    </w:p>
    <w:p>
      <w:pPr>
        <w:pStyle w:val="ListParagraph"/>
        <w:numPr>
          <w:ilvl w:val="0"/>
          <w:numId w:val="2"/>
        </w:numPr>
        <w:spacing w:after="100" w:line="320"/>
      </w:pPr>
      <w:r>
        <w:rPr>
          <w:rFonts w:ascii="Palatino Linotype" w:cs="Palatino Linotype" w:eastAsia="Palatino Linotype" w:hAnsi="Palatino Linotype"/>
          <w:sz w:val="22"/>
          <w:szCs w:val="22"/>
        </w:rPr>
        <w:t xml:space="preserve">Nama file mengikuti konvensi penamaan standar BMP (akan dibahas di Bab 15)</w:t>
      </w:r>
    </w:p>
    <w:p>
      <w:pPr>
        <w:spacing w:after="200"/>
      </w:pPr>
      <w:r>
        <w:rPr>
          <w:rFonts w:ascii="Palatino Linotype" w:cs="Palatino Linotype" w:eastAsia="Palatino Linotype" w:hAnsi="Palatino Linotype"/>
          <w:sz w:val="22"/>
          <w:szCs w:val="22"/>
        </w:rPr>
        <w:t xml:space="preserve"/>
      </w:r>
    </w:p>
    <w:p>
      <w:pPr>
        <w:pBdr>
          <w:bottom w:val="single" w:color="CCCCCC" w:sz="4" w:space="2"/>
        </w:pBdr>
        <w:spacing w:after="200"/>
      </w:pPr>
      <w:r>
        <w:rPr>
          <w:rFonts w:ascii="Palatino Linotype" w:cs="Palatino Linotype" w:eastAsia="Palatino Linotype" w:hAnsi="Palatino Linotype"/>
          <w:sz w:val="22"/>
          <w:szCs w:val="22"/>
        </w:rPr>
        <w:t xml:space="preserve"/>
      </w:r>
    </w:p>
    <w:p>
      <w:pPr>
        <w:spacing w:after="100"/>
      </w:pPr>
      <w:r>
        <w:rPr>
          <w:rFonts w:ascii="Palatino Linotype" w:cs="Palatino Linotype" w:eastAsia="Palatino Linotype" w:hAnsi="Palatino Linotype"/>
          <w:sz w:val="22"/>
          <w:szCs w:val="22"/>
        </w:rPr>
        <w:t xml:space="preserve"/>
      </w:r>
    </w:p>
    <w:p>
      <w:pPr>
        <w:spacing w:after="160" w:line="340"/>
        <w:jc w:val="center"/>
      </w:pPr>
      <w:r>
        <w:rPr>
          <w:rFonts w:ascii="Palatino Linotype" w:cs="Palatino Linotype" w:eastAsia="Palatino Linotype" w:hAnsi="Palatino Linotype"/>
          <w:i/>
          <w:iCs/>
          <w:color w:val="555555"/>
          <w:sz w:val="22"/>
          <w:szCs w:val="22"/>
        </w:rPr>
        <w:t xml:space="preserve">Mulai dari Bab 3, kita masuk ke detail teknis setiap kelompok dokumen: templatenya seperti apa, siapa yang mengisi, kapan, dan bagaimana menyimpannya. Setiap bab dapat dibuka langsung sesuai kebutuhan tanpa harus membaca bab sebelumnya — asalkan Bab 1 dan Bab 2 ini sudah dipahami.</w:t>
      </w:r>
    </w:p>
    <w:sectPr>
      <w:footerReference w:type="default" r:id="rId7"/>
      <w:pgSz w:w="9978" w:h="1417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72B" w:sz="4" w:space="4"/>
      </w:pBdr>
      <w:jc w:val="center"/>
    </w:pPr>
    <w:r>
      <w:rPr>
        <w:rFonts w:ascii="Palatino Linotype" w:cs="Palatino Linotype" w:eastAsia="Palatino Linotype" w:hAnsi="Palatino Linotype"/>
        <w:color w:val="888888"/>
        <w:sz w:val="18"/>
        <w:szCs w:val="18"/>
      </w:rPr>
      <w:t xml:space="preserve">Panduan Dokumen SPMI BMP — IAI STIBA Makassar    |    </w:t>
    </w:r>
    <w:r>
      <w:rPr>
        <w:rFonts w:ascii="Palatino Linotype" w:cs="Palatino Linotype" w:eastAsia="Palatino Linotype" w:hAnsi="Palatino Linotype"/>
        <w:color w:val="888888"/>
        <w:sz w:val="18"/>
        <w:szCs w:val="18"/>
      </w:rPr>
      <w:t xml:space="preserve">Halaman </w:t>
    </w:r>
    <w:r>
      <w:rPr>
        <w:rFonts w:ascii="Palatino Linotype" w:cs="Palatino Linotype" w:eastAsia="Palatino Linotype" w:hAnsi="Palatino Linotype"/>
        <w:b/>
        <w:bCs/>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alatino Linotype" w:cs="Palatino Linotype" w:eastAsia="Palatino Linotype" w:hAnsi="Palatino Linotype"/>
      <w:b/>
      <w:bCs/>
      <w:color w:val="1B3A6B"/>
      <w:sz w:val="32"/>
      <w:szCs w:val="32"/>
    </w:rPr>
  </w:style>
  <w:style w:type="paragraph" w:styleId="Heading2">
    <w:name w:val="Heading 2"/>
    <w:basedOn w:val="Normal"/>
    <w:next w:val="Normal"/>
    <w:qFormat/>
    <w:pPr>
      <w:spacing w:after="140" w:before="320"/>
      <w:outlineLvl w:val="1"/>
    </w:pPr>
    <w:rPr>
      <w:rFonts w:ascii="Palatino Linotype" w:cs="Palatino Linotype" w:eastAsia="Palatino Linotype" w:hAnsi="Palatino Linotype"/>
      <w:b/>
      <w:bCs/>
      <w:color w:val="1B3A6B"/>
      <w:sz w:val="26"/>
      <w:szCs w:val="26"/>
    </w:rPr>
  </w:style>
  <w:style w:type="paragraph" w:styleId="Heading3">
    <w:name w:val="Heading 3"/>
    <w:basedOn w:val="Normal"/>
    <w:next w:val="Normal"/>
    <w:qFormat/>
    <w:pPr>
      <w:spacing w:after="100" w:before="240"/>
      <w:outlineLvl w:val="2"/>
    </w:pPr>
    <w:rPr>
      <w:rFonts w:ascii="Palatino Linotype" w:cs="Palatino Linotype" w:eastAsia="Palatino Linotype" w:hAnsi="Palatino Linotype"/>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2026-05-13T02:38:13.653Z</dcterms:created>
  <dcterms:modified xsi:type="dcterms:W3CDTF">2026-05-13T02:38:13.668Z</dcterms:modified>
</cp:coreProperties>
</file>

<file path=docProps/custom.xml><?xml version="1.0" encoding="utf-8"?>
<Properties xmlns="http://schemas.openxmlformats.org/officeDocument/2006/custom-properties" xmlns:vt="http://schemas.openxmlformats.org/officeDocument/2006/docPropsVTypes"/>
</file>