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25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LTVIP2025TMID42023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docspot: seamless appointment booking for health</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1"/>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1"/>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1"/>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1"/>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1"/>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9525" l="9525" r="9525" t="9525"/>
            <wp:docPr descr="Calendar&#10;&#10;Description automatically generated" id="1027"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hyperlink r:id="rId8">
        <w:r w:rsidDel="00000000" w:rsidR="00000000" w:rsidRPr="00000000">
          <w:rPr>
            <w:color w:val="0563c1"/>
            <w:u w:val="singl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rPr>
          <w:color w:val="000000"/>
        </w:rPr>
      </w:pPr>
      <w:hyperlink r:id="rId9">
        <w:r w:rsidDel="00000000" w:rsidR="00000000" w:rsidRPr="00000000">
          <w:rPr>
            <w:color w:val="0563c1"/>
            <w:u w:val="single"/>
            <w:rtl w:val="0"/>
          </w:rPr>
          <w:t xml:space="preserve">https://medium.com/@epicantus/problem-solution-fit-canvas-aa3dd59cb4fe</w:t>
        </w:r>
      </w:hyperlink>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Quattrocento Sans" w:cs="Quattrocento Sans" w:eastAsia="Quattrocento Sans" w:hAnsi="Quattrocento Sans"/>
      </w:rPr>
    </w:lvl>
    <w:lvl w:ilvl="1">
      <w:start w:val="1"/>
      <w:numFmt w:val="bullet"/>
      <w:lvlText w:val="❑"/>
      <w:lvlJc w:val="left"/>
      <w:pPr>
        <w:ind w:left="1440" w:hanging="360"/>
      </w:pPr>
      <w:rPr>
        <w:rFonts w:ascii="Quattrocento Sans" w:cs="Quattrocento Sans" w:eastAsia="Quattrocento Sans" w:hAnsi="Quattrocento Sans"/>
      </w:rPr>
    </w:lvl>
    <w:lvl w:ilvl="2">
      <w:start w:val="1"/>
      <w:numFmt w:val="bullet"/>
      <w:lvlText w:val="❑"/>
      <w:lvlJc w:val="left"/>
      <w:pPr>
        <w:ind w:left="2160" w:hanging="360"/>
      </w:pPr>
      <w:rPr>
        <w:rFonts w:ascii="Quattrocento Sans" w:cs="Quattrocento Sans" w:eastAsia="Quattrocento Sans" w:hAnsi="Quattrocento Sans"/>
      </w:rPr>
    </w:lvl>
    <w:lvl w:ilvl="3">
      <w:start w:val="1"/>
      <w:numFmt w:val="bullet"/>
      <w:lvlText w:val="❑"/>
      <w:lvlJc w:val="left"/>
      <w:pPr>
        <w:ind w:left="2880" w:hanging="360"/>
      </w:pPr>
      <w:rPr>
        <w:rFonts w:ascii="Quattrocento Sans" w:cs="Quattrocento Sans" w:eastAsia="Quattrocento Sans" w:hAnsi="Quattrocento Sans"/>
      </w:rPr>
    </w:lvl>
    <w:lvl w:ilvl="4">
      <w:start w:val="1"/>
      <w:numFmt w:val="bullet"/>
      <w:lvlText w:val="❑"/>
      <w:lvlJc w:val="left"/>
      <w:pPr>
        <w:ind w:left="3600" w:hanging="360"/>
      </w:pPr>
      <w:rPr>
        <w:rFonts w:ascii="Quattrocento Sans" w:cs="Quattrocento Sans" w:eastAsia="Quattrocento Sans" w:hAnsi="Quattrocento Sans"/>
      </w:rPr>
    </w:lvl>
    <w:lvl w:ilvl="5">
      <w:start w:val="1"/>
      <w:numFmt w:val="bullet"/>
      <w:lvlText w:val="❑"/>
      <w:lvlJc w:val="left"/>
      <w:pPr>
        <w:ind w:left="4320" w:hanging="360"/>
      </w:pPr>
      <w:rPr>
        <w:rFonts w:ascii="Quattrocento Sans" w:cs="Quattrocento Sans" w:eastAsia="Quattrocento Sans" w:hAnsi="Quattrocento Sans"/>
      </w:rPr>
    </w:lvl>
    <w:lvl w:ilvl="6">
      <w:start w:val="1"/>
      <w:numFmt w:val="bullet"/>
      <w:lvlText w:val="❑"/>
      <w:lvlJc w:val="left"/>
      <w:pPr>
        <w:ind w:left="5040" w:hanging="360"/>
      </w:pPr>
      <w:rPr>
        <w:rFonts w:ascii="Quattrocento Sans" w:cs="Quattrocento Sans" w:eastAsia="Quattrocento Sans" w:hAnsi="Quattrocento Sans"/>
      </w:rPr>
    </w:lvl>
    <w:lvl w:ilvl="7">
      <w:start w:val="1"/>
      <w:numFmt w:val="bullet"/>
      <w:lvlText w:val="❑"/>
      <w:lvlJc w:val="left"/>
      <w:pPr>
        <w:ind w:left="5760" w:hanging="360"/>
      </w:pPr>
      <w:rPr>
        <w:rFonts w:ascii="Quattrocento Sans" w:cs="Quattrocento Sans" w:eastAsia="Quattrocento Sans" w:hAnsi="Quattrocento Sans"/>
      </w:rPr>
    </w:lvl>
    <w:lvl w:ilvl="8">
      <w:start w:val="1"/>
      <w:numFmt w:val="bullet"/>
      <w:lvlText w:val="❑"/>
      <w:lvlJc w:val="left"/>
      <w:pPr>
        <w:ind w:left="6480" w:hanging="360"/>
      </w:pPr>
      <w:rPr>
        <w:rFonts w:ascii="Quattrocento Sans" w:cs="Quattrocento Sans" w:eastAsia="Quattrocento Sans" w:hAnsi="Quattrocento San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8">
    <w:name w:val="List Paragraph"/>
    <w:basedOn w:val="P0"/>
    <w:next w:val="P8"/>
    <w:qFormat w:val="1"/>
    <w:pPr>
      <w:ind w:left="720"/>
      <w:contextualSpacing w:val="1"/>
    </w:pPr>
    <w:rPr/>
  </w:style>
  <w:style w:type="character" w:styleId="C0" w:default="1">
    <w:name w:val="Default Paragraph Font"/>
    <w:rPr/>
  </w:style>
  <w:style w:type="character" w:styleId="C1">
    <w:name w:val="Line Number"/>
    <w:basedOn w:val="C0"/>
    <w:semiHidden w:val="1"/>
    <w:rPr/>
  </w:style>
  <w:style w:type="character" w:styleId="C2">
    <w:name w:val="Hyperlink"/>
    <w:basedOn w:val="C0"/>
    <w:rPr>
      <w:color w:val="0563c1"/>
      <w:u w:val="single"/>
    </w:rPr>
  </w:style>
  <w:style w:type="character" w:styleId="C3">
    <w:name w:val="Unresolved Mention1"/>
    <w:basedOn w:val="C0"/>
    <w:rPr>
      <w:color w:val="605e5c"/>
      <w:shd w:color="auto" w:fill="e1dfdd" w:val="clear"/>
    </w:rPr>
  </w:style>
  <w:style w:type="table" w:styleId="T0" w:default="1">
    <w:name w:val="Normal Table"/>
    <w:tblPr>
      <w:tblInd w:w="0.0" w:type="dxa"/>
      <w:tblCellMar>
        <w:top w:w="0.0" w:type="dxa"/>
        <w:left w:w="108.0" w:type="dxa"/>
        <w:bottom w:w="0.0" w:type="dxa"/>
        <w:right w:w="108.0" w:type="dxa"/>
      </w:tblCellMar>
    </w:tblPr>
    <w:trPr/>
    <w:tcPr/>
  </w:style>
  <w:style w:type="table" w:styleId="T1">
    <w:name w:val="Table Simple 1"/>
    <w:basedOn w:val="T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rPr/>
    <w:tcPr/>
  </w:style>
  <w:style w:type="table" w:styleId="T2">
    <w:name w:val="Table Grid"/>
    <w:basedOn w:val="T0"/>
    <w:pPr>
      <w:spacing w:after="0" w:afterAutospacing="0" w:beforeAutospacing="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tcPr/>
  </w:style>
  <w:style w:type="table" w:styleId="T3">
    <w:name w:val=""/>
    <w:basedOn w:val="T0"/>
    <w:pPr>
      <w:spacing w:after="0" w:afterAutospacing="0" w:beforeAutospacing="0" w:line="240" w:lineRule="auto"/>
    </w:pPr>
    <w:tblPr>
      <w:tblStyleRowBandSize w:val="1"/>
      <w:tblStyleColBandSize w:val="1"/>
    </w:tblPr>
    <w:trPr/>
    <w:tcPr/>
  </w:style>
  <w:style w:type="numbering" w:styleId="N0">
    <w:name w:val="No List"/>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picantus/problem-solution-fit-canvas-aa3dd59cb4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ideahackers.network/problem-solution-fit-canv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6rQCS7SekD7fncYxj951UE1IXA==">CgMxLjA4AHIhMTVxcE5wa0NtZHVoQ0cwb1ZRY0RtSkNrREpPSkFldEY1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2025-06-28T15:43:39Z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10b3e9f420d04e6b94d7fc42785318b6</vt:lpwstr>
  </property>
</Properties>
</file>