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B073D" w14:textId="77777777" w:rsidR="00B8638C" w:rsidRPr="00283908" w:rsidRDefault="00000000">
      <w:pPr>
        <w:pStyle w:val="Title"/>
        <w:rPr>
          <w:sz w:val="24"/>
          <w:szCs w:val="44"/>
        </w:rPr>
      </w:pPr>
      <w:r w:rsidRPr="00283908">
        <w:rPr>
          <w:sz w:val="24"/>
          <w:szCs w:val="44"/>
        </w:rPr>
        <w:t>RHTP 11.A</w:t>
      </w:r>
    </w:p>
    <w:p w14:paraId="39A19CEE" w14:textId="77777777" w:rsidR="00B8638C" w:rsidRDefault="00000000">
      <w:pPr>
        <w:pStyle w:val="Title"/>
      </w:pPr>
      <w:r>
        <w:t>The Disease Burden</w:t>
      </w:r>
    </w:p>
    <w:p w14:paraId="080E3446" w14:textId="77777777" w:rsidR="00B8638C" w:rsidRDefault="00000000">
      <w:pPr>
        <w:pStyle w:val="Subtitle"/>
      </w:pPr>
      <w:r>
        <w:t>Excess Mortality as Structural Indictment</w:t>
      </w:r>
    </w:p>
    <w:p w14:paraId="23F824CB" w14:textId="77777777" w:rsidR="00B8638C" w:rsidRDefault="00000000">
      <w:r>
        <w:t xml:space="preserve">Rural Americans die younger. This statement requires no qualification, no hedge, no careful parsing of confounding variables. </w:t>
      </w:r>
      <w:r>
        <w:rPr>
          <w:rStyle w:val="Emphasis"/>
        </w:rPr>
        <w:t>Age-adjusted mortality in rural areas exceeds urban mortality by 20 percent</w:t>
      </w:r>
      <w:r>
        <w:t>, a gap that has nearly tripled since 1999 when the difference stood at 7 percent. The widening reflects not population aging, not compositional differences, not the natural sorting of sick people to places with lower costs of living. It reflects something more damning: deaths from conditions that effective healthcare prevents.</w:t>
      </w:r>
    </w:p>
    <w:p w14:paraId="01A83E8A" w14:textId="77777777" w:rsidR="00B8638C" w:rsidRDefault="00000000">
      <w:r>
        <w:t xml:space="preserve">This article establishes the epidemiological foundation for Series 11 by examining what rural Americans actually die from and what those patterns reveal about the healthcare system’s failures. The core tension runs throughout: </w:t>
      </w:r>
      <w:r>
        <w:rPr>
          <w:rStyle w:val="Emphasis"/>
        </w:rPr>
        <w:t>rural excess mortality concentrates in treatable conditions</w:t>
      </w:r>
      <w:r>
        <w:t>, suggesting access barriers rather than immutable health behaviors as primary drivers. Yet the alternative perspective deserves serious engagement: perhaps rural mortality reflects accumulated disadvantage that healthcare alone cannot reverse.</w:t>
      </w:r>
    </w:p>
    <w:p w14:paraId="2E73EFDA" w14:textId="77777777" w:rsidR="00B8638C" w:rsidRDefault="00000000">
      <w:r>
        <w:t>For transformation planning, disease burden data answers essential questions. Which conditions should drive workforce investments? Which specialties matter most for reducing preventable deaths? Which regions demand priority attention? Without this clinical grounding, RHTP implementation risks addressing problems that do not exist while ignoring crises that demand urgent response.</w:t>
      </w:r>
    </w:p>
    <w:p w14:paraId="30C54F1F" w14:textId="77777777" w:rsidR="00B8638C" w:rsidRDefault="00000000">
      <w:pPr>
        <w:pStyle w:val="Heading1"/>
      </w:pPr>
      <w:bookmarkStart w:id="0" w:name="the-mortality-landscape"/>
      <w:r>
        <w:t>The Mortality Landscape</w:t>
      </w:r>
    </w:p>
    <w:p w14:paraId="1C791DD6" w14:textId="77777777" w:rsidR="00B8638C" w:rsidRDefault="00000000">
      <w:r>
        <w:t xml:space="preserve">The five leading causes of death in the United States produce </w:t>
      </w:r>
      <w:r>
        <w:rPr>
          <w:rStyle w:val="Emphasis"/>
        </w:rPr>
        <w:t>approximately 80 percent of the rural-urban mortality gap</w:t>
      </w:r>
      <w:r>
        <w:t>: heart disease, cancer, unintentional injury, chronic lower respiratory disease (CLRD), and stroke. Each cause demonstrates higher age-adjusted death rates in rural areas, but the magnitude varies considerably.</w:t>
      </w:r>
    </w:p>
    <w:p w14:paraId="6D7A5419" w14:textId="77777777" w:rsidR="00B8638C" w:rsidRDefault="00000000">
      <w:r>
        <w:rPr>
          <w:rStyle w:val="Emphasis"/>
        </w:rPr>
        <w:t>Heart disease</w:t>
      </w:r>
      <w:r>
        <w:t xml:space="preserve"> accounts for the largest absolute difference. Rural areas recorded 189.1 deaths per 100,000 population in 2019 compared to 156.3 in urban areas, a 21 percent excess. This gap has proved stubbornly persistent. While cardiac mortality declined in both settings from 1999 through 2019, urban areas improved faster, widening rather than narrowing the disparity. The pattern suggests that whatever drives cardiac mortality improvement, whether statin therapy, blood pressure control, or acute intervention access, </w:t>
      </w:r>
      <w:r>
        <w:rPr>
          <w:rStyle w:val="Emphasis"/>
        </w:rPr>
        <w:t>rural populations receive it less frequently or less effectively</w:t>
      </w:r>
      <w:r>
        <w:t>.</w:t>
      </w:r>
    </w:p>
    <w:p w14:paraId="08F931DE" w14:textId="77777777" w:rsidR="00B8638C" w:rsidRDefault="00000000">
      <w:r>
        <w:rPr>
          <w:rStyle w:val="Emphasis"/>
        </w:rPr>
        <w:t>Cancer</w:t>
      </w:r>
      <w:r>
        <w:t xml:space="preserve"> mortality shows a similar pattern with important nuances. At 164.1 versus 142.8 deaths per 100,000, rural areas exceed urban rates by 15 percent. Cancer mortality declined nationally after 2015, with rural areas participating in the improvement. However, the decline occurred more slowly, maintaining the rural penalty. Breast and colorectal cancers, both highly amenable to screening and early intervention, show particular rural excess. Late-stage diagnosis predominates in settings where mammography requires a two-hour drive and colonoscopy means an overnight trip.</w:t>
      </w:r>
    </w:p>
    <w:p w14:paraId="5AFAC75F" w14:textId="77777777" w:rsidR="00B8638C" w:rsidRDefault="00000000">
      <w:r>
        <w:rPr>
          <w:rStyle w:val="Emphasis"/>
        </w:rPr>
        <w:t>Chronic lower respiratory disease</w:t>
      </w:r>
      <w:r>
        <w:t xml:space="preserve"> represents the largest proportional rural excess at 48 percent (52.5 versus 35.4 per 100,000). CLRD mortality remained essentially stable in rural areas from 1999 through 2019 while declining in urban settings. Smoking prevalence partly explains this pattern, as rural adults smoke at higher rates. Yet smoking cessation services, pulmonary rehabilitation, and specialist pulmonology all require access that rural areas lack. </w:t>
      </w:r>
      <w:r>
        <w:rPr>
          <w:rStyle w:val="Emphasis"/>
        </w:rPr>
        <w:t>The clinical question becomes whether CLRD mortality reflects tobacco culture or missing infrastructure for disease management</w:t>
      </w:r>
      <w:r>
        <w:t>, a question with profound transformation implications.</w:t>
      </w:r>
    </w:p>
    <w:p w14:paraId="61BF6A6A" w14:textId="77777777" w:rsidR="00B8638C" w:rsidRDefault="00000000">
      <w:r>
        <w:rPr>
          <w:rStyle w:val="Emphasis"/>
        </w:rPr>
        <w:t>Unintentional injuries</w:t>
      </w:r>
      <w:r>
        <w:t xml:space="preserve">, primarily motor vehicle crashes and drug overdoses, demonstrate different geographic patterns than chronic diseases. Motor vehicle mortality correlates with distance driven on rural </w:t>
      </w:r>
      <w:r>
        <w:lastRenderedPageBreak/>
        <w:t xml:space="preserve">roads, lack of trauma centers, and longer emergency response times. Drug overdose mortality, which increased dramatically in both rural and urban areas since 2010, </w:t>
      </w:r>
      <w:r>
        <w:rPr>
          <w:rStyle w:val="Emphasis"/>
        </w:rPr>
        <w:t>showed sharper increases in urban settings initially but has now reached comparable rural rates</w:t>
      </w:r>
      <w:r>
        <w:t>. The opioid epidemic’s trajectory through rural communities lagged urban patterns by several years but achieved similar devastation.</w:t>
      </w:r>
    </w:p>
    <w:p w14:paraId="07625BB9" w14:textId="77777777" w:rsidR="00B8638C" w:rsidRDefault="00000000">
      <w:r>
        <w:rPr>
          <w:rStyle w:val="Emphasis"/>
        </w:rPr>
        <w:t>Stroke</w:t>
      </w:r>
      <w:r>
        <w:t xml:space="preserve"> mortality maintains a rural excess of approximately 15 percent, with rates improving in both settings over the past two decades. Stroke response depends critically on time to intervention, with tissue plasminogen activator (tPA) effectiveness declining steeply after three hours. Rural stroke patients face double disadvantage: longer transport times and fewer primary stroke centers. The fact that rural-urban stroke disparities have not widened despite these access barriers may reflect successful public health messaging about stroke symptoms and the deployment of telemedicine for acute stroke consultation.</w:t>
      </w:r>
    </w:p>
    <w:p w14:paraId="63657B4E" w14:textId="77777777" w:rsidR="00B8638C" w:rsidRDefault="00000000">
      <w:pPr>
        <w:pStyle w:val="Heading1"/>
      </w:pPr>
      <w:bookmarkStart w:id="1" w:name="X91cc70b5319be7e8879b52a18a655a981616dd1"/>
      <w:bookmarkEnd w:id="0"/>
      <w:r>
        <w:t>Regional Variation: Where Mortality Concentrates</w:t>
      </w:r>
    </w:p>
    <w:p w14:paraId="47385AE4" w14:textId="77777777" w:rsidR="00B8638C" w:rsidRDefault="00000000">
      <w:r>
        <w:t xml:space="preserve">National rural-urban comparisons obscure dramatic regional variation. </w:t>
      </w:r>
      <w:r>
        <w:rPr>
          <w:rStyle w:val="Emphasis"/>
        </w:rPr>
        <w:t>The Mississippi Delta and Appalachia carry mortality burdens that dwarf other rural regions</w:t>
      </w:r>
      <w:r>
        <w:t>, concentrating disadvantage in ways that transform statistical disparities into humanitarian emergencies.</w:t>
      </w:r>
    </w:p>
    <w:p w14:paraId="5803CAD2" w14:textId="77777777" w:rsidR="00B8638C" w:rsidRDefault="00000000">
      <w:r>
        <w:t>The Delta Region, comprising 252 counties across eight states along the lower Mississippi River, reports all-cause mortality rates approximately 20 percent higher than the national average and 10 percent higher than non-Delta counties in the same states. Heart disease mortality in the Delta exceeds national rates by margins approaching 30 percent in some counties. Diabetes mortality shows even starker concentration, with the Delta forming the core of what CDC has designated the “diabetes belt.”</w:t>
      </w:r>
    </w:p>
    <w:p w14:paraId="2488CD02" w14:textId="77777777" w:rsidR="00B8638C" w:rsidRDefault="00000000">
      <w:r>
        <w:t xml:space="preserve">Delta communities experience </w:t>
      </w:r>
      <w:r>
        <w:rPr>
          <w:rStyle w:val="Emphasis"/>
        </w:rPr>
        <w:t>compounded disadvantage across multiple mortality drivers</w:t>
      </w:r>
      <w:r>
        <w:t>. High uninsurance rates mean chronic conditions go undiagnosed and untreated. Provider shortages mean even insured patients lack access. Poverty limits medication adherence and dietary modification. Transportation barriers prevent emergency response within golden hours. The result is mortality patterns that would be considered crisis-level if they appeared suddenly but receive limited attention because they have persisted for generations.</w:t>
      </w:r>
    </w:p>
    <w:p w14:paraId="2F2D7CBA" w14:textId="77777777" w:rsidR="00B8638C" w:rsidRDefault="00000000">
      <w:r>
        <w:t xml:space="preserve">Appalachia spans 423 counties across 13 states with 26 million residents, creating more heterogeneity than the Delta. However, Central Appalachia, particularly eastern Kentucky, southern West Virginia, and southwestern Virginia, records mortality rates approaching Delta levels. Appalachian mortality excess concentrates in injury and respiratory disease alongside cardiovascular conditions. </w:t>
      </w:r>
      <w:r>
        <w:rPr>
          <w:rStyle w:val="Emphasis"/>
        </w:rPr>
        <w:t>Deaths of despair, encompassing drug overdose, alcohol-related mortality, and suicide, devastate Central Appalachian communities</w:t>
      </w:r>
      <w:r>
        <w:t xml:space="preserve"> at rates that exceed even the national rural average by substantial margins.</w:t>
      </w:r>
    </w:p>
    <w:p w14:paraId="7F16AB7B" w14:textId="77777777" w:rsidR="00B8638C" w:rsidRDefault="00000000">
      <w:r>
        <w:t>The Appalachian Regional Commission’s 2022 analysis found diseases of despair mortality in Appalachian counties at 37 percent above the non-Appalachian United States, with Central Appalachian subregions reaching 50 percent excess. West Virginia’s Appalachian counties recorded the highest combined despair mortality, driven primarily by drug overdose. These deaths strike working-age adults, producing years of potential life lost that transform demographic structure as young people die before contributing their productive decades.</w:t>
      </w:r>
    </w:p>
    <w:p w14:paraId="23BD8B91" w14:textId="77777777" w:rsidR="00B8638C" w:rsidRDefault="00000000">
      <w:r>
        <w:t xml:space="preserve">Frontier regions of the Great Plains and Mountain West present different patterns. Lower population density means isolation defines healthcare access in ways that even rural Southern communities do not experience. Emergency response times measured in hours rather than minutes make acute mortality from trauma and cardiac events difficult to prevent regardless of healthcare system performance. Yet chronic disease mortality in frontier areas often falls below national rural averages, </w:t>
      </w:r>
      <w:r>
        <w:rPr>
          <w:rStyle w:val="Emphasis"/>
        </w:rPr>
        <w:t>suggesting that rural mortality excess is not uniform but concentrates in particular regions with particular histories</w:t>
      </w:r>
      <w:r>
        <w:t>.</w:t>
      </w:r>
    </w:p>
    <w:p w14:paraId="399FF326" w14:textId="77777777" w:rsidR="00B8638C" w:rsidRDefault="00000000">
      <w:r>
        <w:t xml:space="preserve">New England’s rural areas demonstrate that rural residence need not produce mortality excess. Rural Maine, Vermont, and New Hampshire report mortality rates closer to their urban counterparts than to rural Mississippi or Kentucky. Higher baseline education, greater insurance coverage through state Medicaid expansions, and denser provider networks all contribute. The New England example proves that rural-urban </w:t>
      </w:r>
      <w:r>
        <w:lastRenderedPageBreak/>
        <w:t xml:space="preserve">mortality gaps are not immutable facts of geography but </w:t>
      </w:r>
      <w:r>
        <w:rPr>
          <w:rStyle w:val="Emphasis"/>
        </w:rPr>
        <w:t>consequences of policy choices and infrastructure investments that could be made elsewhere</w:t>
      </w:r>
      <w:r>
        <w:t>.</w:t>
      </w:r>
    </w:p>
    <w:p w14:paraId="483FB87E" w14:textId="77777777" w:rsidR="00B8638C" w:rsidRDefault="00000000">
      <w:pPr>
        <w:pStyle w:val="Heading1"/>
      </w:pPr>
      <w:bookmarkStart w:id="2" w:name="treatable-conditions-and-access-barriers"/>
      <w:bookmarkEnd w:id="1"/>
      <w:r>
        <w:t>Treatable Conditions and Access Barriers</w:t>
      </w:r>
    </w:p>
    <w:p w14:paraId="4F95A2BF" w14:textId="77777777" w:rsidR="00B8638C" w:rsidRDefault="00000000">
      <w:r>
        <w:t>The concept of amenable mortality, deaths that should not occur given timely and effective healthcare, provides analytical leverage for understanding rural excess mortality. When people die from conditions that medical intervention can prevent or treat, those deaths indict healthcare access rather than individual behavior or population composition.</w:t>
      </w:r>
    </w:p>
    <w:p w14:paraId="3A916595" w14:textId="77777777" w:rsidR="00B8638C" w:rsidRDefault="00000000">
      <w:r>
        <w:rPr>
          <w:rStyle w:val="Emphasis"/>
        </w:rPr>
        <w:t>The United States performs poorly on amenable mortality compared to peer nations</w:t>
      </w:r>
      <w:r>
        <w:t>, ranking in the middle of high-income countries despite spending twice the average on healthcare. Within the United States, amenable mortality concentrates in populations with limited healthcare access: the uninsured, racial minorities, and rural residents. The overlap between these categories explains why rural mortality excess persists even after age adjustment.</w:t>
      </w:r>
    </w:p>
    <w:p w14:paraId="76F2EA0E" w14:textId="77777777" w:rsidR="00B8638C" w:rsidRDefault="00000000">
      <w:r>
        <w:t xml:space="preserve">Heart disease amenable mortality includes deaths from hypertensive heart disease, ischemic heart disease amenable to intervention, and conditions responsive to medication management. Rural Americans die from these conditions at higher rates not because their hearts differ physiologically but because they </w:t>
      </w:r>
      <w:r>
        <w:rPr>
          <w:rStyle w:val="Emphasis"/>
        </w:rPr>
        <w:t>receive blood pressure screening less frequently, obtain cardiology consultation less readily, and access cardiac catheterization less rapidly</w:t>
      </w:r>
      <w:r>
        <w:t xml:space="preserve"> than urban counterparts. A heart attack in rural Georgia produces different outcomes than the same event in Atlanta, with the difference attributable entirely to what happens after symptoms begin.</w:t>
      </w:r>
    </w:p>
    <w:p w14:paraId="600A0EA0" w14:textId="77777777" w:rsidR="00B8638C" w:rsidRDefault="00000000">
      <w:r>
        <w:t>Cancer amenable mortality focuses on neoplasms where screening detects early-stage disease and treatment achieves cure or long-term survival. Breast, cervical, and colorectal cancers exemplify screening-amenable conditions. Rural women undergo mammography at lower rates than urban women, not because they value breast health differently but because screening facilities require travel that employment and family responsibilities do not accommodate. Rural colorectal cancer mortality excess reflects the same dynamic: colonoscopy requires preparation, procedure, and recovery time that working-class rural schedules cannot absorb without support systems that do not exist.</w:t>
      </w:r>
    </w:p>
    <w:p w14:paraId="7CDFED8F" w14:textId="77777777" w:rsidR="00B8638C" w:rsidRDefault="00000000">
      <w:r>
        <w:t xml:space="preserve">Maternal mortality provides perhaps the starkest example of amenable death concentrating in rural areas. Pregnancy-related deaths have increased nationally while declining in peer countries, and rural women face approximately 20 percent higher maternal mortality than urban women. The closure of 179 rural hospitals since 2005, with many closures eliminating obstetric units that could not maintain volume, </w:t>
      </w:r>
      <w:r>
        <w:rPr>
          <w:rStyle w:val="Emphasis"/>
        </w:rPr>
        <w:t>forces rural women to deliver in facilities lacking intensive care capability or to travel distances that introduce risk during labor</w:t>
      </w:r>
      <w:r>
        <w:t>. Women die in 2026 from complications that adequate obstetric care routinely prevents because they live where such care does not exist.</w:t>
      </w:r>
    </w:p>
    <w:p w14:paraId="35A97432" w14:textId="77777777" w:rsidR="00B8638C" w:rsidRDefault="00000000">
      <w:pPr>
        <w:pStyle w:val="Heading1"/>
      </w:pPr>
      <w:bookmarkStart w:id="3" w:name="X17067d325f779d69a6b23321bddea81d5d33e09"/>
      <w:bookmarkEnd w:id="2"/>
      <w:r>
        <w:t>The Core Tension: Access Failure or Behavioral Consequence?</w:t>
      </w:r>
    </w:p>
    <w:p w14:paraId="40DB75B6" w14:textId="77777777" w:rsidR="00B8638C" w:rsidRDefault="00000000">
      <w:r>
        <w:t xml:space="preserve">Rural mortality excess could reflect two fundamentally different causal pathways with distinct transformation implications. </w:t>
      </w:r>
      <w:r>
        <w:rPr>
          <w:rStyle w:val="Emphasis"/>
        </w:rPr>
        <w:t>If access barriers drive excess mortality, then infrastructure investment should reduce it.</w:t>
      </w:r>
      <w:r>
        <w:t xml:space="preserve"> If behavioral factors drive excess mortality, then transformation must address culture and choice rather than facilities and providers.</w:t>
      </w:r>
    </w:p>
    <w:p w14:paraId="3E3F8EE6" w14:textId="77777777" w:rsidR="00B8638C" w:rsidRDefault="00000000">
      <w:r>
        <w:t>The access failure hypothesis holds that rural Americans would achieve urban health outcomes if they received equivalent healthcare. This hypothesis finds support in amenable mortality concentration, in outcome improvements following healthcare expansion, and in the geographic clustering of mortality excess in regions with documented access deficits. Under this hypothesis, RHTP investments in workforce, telehealth, and facility support address mortality directly.</w:t>
      </w:r>
    </w:p>
    <w:p w14:paraId="2759E7D8" w14:textId="77777777" w:rsidR="00B8638C" w:rsidRDefault="00000000">
      <w:r>
        <w:t xml:space="preserve">The behavioral hypothesis holds that rural mortality reflects lifestyle choices that healthcare cannot easily reverse: higher smoking rates, greater obesity prevalence, lower physical activity, and dietary patterns inconsistent with cardiovascular health. Rural adults do smoke more frequently, consume fewer fruits and </w:t>
      </w:r>
      <w:r>
        <w:lastRenderedPageBreak/>
        <w:t>vegetables, and engage in less leisure-time physical activity than urban adults. These behaviors correlate with mortality even after controlling for healthcare access.</w:t>
      </w:r>
    </w:p>
    <w:p w14:paraId="3F201E96" w14:textId="77777777" w:rsidR="00B8638C" w:rsidRDefault="00000000">
      <w:r>
        <w:t xml:space="preserve">The evidence favors a </w:t>
      </w:r>
      <w:r>
        <w:rPr>
          <w:rStyle w:val="Emphasis"/>
        </w:rPr>
        <w:t>hybrid interpretation that nonetheless prioritizes access</w:t>
      </w:r>
      <w:r>
        <w:t>. Behavioral factors contribute to rural mortality, but behaviors themselves respond to structural conditions. People smoke more when economic prospects dim, when social supports erode, and when alternative coping mechanisms remain unavailable. Obesity correlates with food access, income, and built environment features that rural communities control less readily than urban neighborhoods with grocery stores and sidewalks. Physical activity requires time that multiple jobs do not provide and facilities that rural areas lack.</w:t>
      </w:r>
    </w:p>
    <w:p w14:paraId="4E424785" w14:textId="77777777" w:rsidR="00B8638C" w:rsidRDefault="00000000">
      <w:r>
        <w:t xml:space="preserve">More fundamentally, behaviors manifest as mortality through clinical pathways that healthcare can interrupt. A rural smoker who develops COPD need not die from the condition if pulmonary function monitoring, inhaler therapy, pulmonary rehabilitation, and oxygen support remain accessible. The behavior created the vulnerability, but the death results from missing clinical response. </w:t>
      </w:r>
      <w:r>
        <w:rPr>
          <w:rStyle w:val="Emphasis"/>
        </w:rPr>
        <w:t>Transformation cannot change that someone smoked for thirty years, but it can determine whether smoking becomes fatal</w:t>
      </w:r>
      <w:r>
        <w:t>.</w:t>
      </w:r>
    </w:p>
    <w:p w14:paraId="5FBE89CA" w14:textId="77777777" w:rsidR="00B8638C" w:rsidRDefault="00000000">
      <w:pPr>
        <w:pStyle w:val="Heading1"/>
      </w:pPr>
      <w:bookmarkStart w:id="4" w:name="the-vignette-a-drive-that-became-a-delay"/>
      <w:bookmarkEnd w:id="3"/>
      <w:r>
        <w:t>The Vignette: A Drive That Became a Delay</w:t>
      </w:r>
    </w:p>
    <w:p w14:paraId="2BB8E75F" w14:textId="77777777" w:rsidR="00B8638C" w:rsidRDefault="00000000">
      <w:r>
        <w:t>Marvin Thompson farmed soybeans in the Missouri Bootheel for forty-three years before his chest tightened on an October morning in 2024. His wife recognized the signs: sweating, arm pain, shortness of breath. She called 911 and learned the ambulance would arrive in approximately eighteen minutes from the county seat twenty-six miles north.</w:t>
      </w:r>
    </w:p>
    <w:p w14:paraId="6F90EAF2" w14:textId="77777777" w:rsidR="00B8638C" w:rsidRDefault="00000000">
      <w:r>
        <w:t>The Thompson farmhouse sat seven miles from the nearest paved road on a gravel lane that heavy equipment had rutted during harvest. The ambulance driver, trained to reach patients quickly on highways, had no experience navigating farm approaches in medical emergencies. The eighteen-minute estimate became thirty-one minutes to arrival.</w:t>
      </w:r>
    </w:p>
    <w:p w14:paraId="2592320A" w14:textId="77777777" w:rsidR="00B8638C" w:rsidRDefault="00000000">
      <w:r>
        <w:t>Emergency protocols require field assessment and stabilization before transport. The paramedics administered aspirin and initiated cardiac monitoring, standard care that would proceed identically in urban settings. But the nearest cardiac catheterization laboratory was in Cape Girardeau, fifty-four miles away. The regional medical center in Sikeston, just nineteen miles distant, had closed its cardiac unit three years earlier after volume dropped below the threshold required to maintain competency and accreditation.</w:t>
      </w:r>
    </w:p>
    <w:p w14:paraId="7496614D" w14:textId="77777777" w:rsidR="00B8638C" w:rsidRDefault="00000000">
      <w:r>
        <w:rPr>
          <w:rStyle w:val="Emphasis"/>
        </w:rPr>
        <w:t>Marvin Thompson’s heart attack began at 7:23 AM. He reached the catheterization laboratory at 9:47 AM.</w:t>
      </w:r>
      <w:r>
        <w:t xml:space="preserve"> The interventional cardiologist cleared the blockage and placed a stent, achieving technical success. But two hours and twenty-four minutes of impaired cardiac blood flow had damaged muscle that a ninety-minute intervention would have preserved. Marvin survived his heart attack. He cannot survive the heart failure that progressive muscle damage will cause.</w:t>
      </w:r>
    </w:p>
    <w:p w14:paraId="481FC59A" w14:textId="77777777" w:rsidR="00B8638C" w:rsidRDefault="00000000">
      <w:r>
        <w:t>His wife researches clinical trials and wonders what would have happened if they lived in St. Louis. The interventional cardiologist knows exactly what would have happened: Marvin would have reached the laboratory in under an hour, muscle damage would have been minimal, and he would have returned to farming the following spring. The cardiologist has seen this pattern dozens of times. He documents the cases but has stopped expecting anyone to act on the documentation.</w:t>
      </w:r>
    </w:p>
    <w:p w14:paraId="05EC7DE4" w14:textId="77777777" w:rsidR="00B8638C" w:rsidRDefault="00000000">
      <w:r>
        <w:rPr>
          <w:rStyle w:val="Emphasis"/>
        </w:rPr>
        <w:t>Marvin Thompson did not make poor choices. He did not refuse care or delay calling for help.</w:t>
      </w:r>
      <w:r>
        <w:t xml:space="preserve"> He did not live recklessly or ignore warning signs. He lived in a place where healthcare infrastructure had retreated, where cardiac emergencies become cardiac disabilities because distance translates directly to damage. His years of potential life lost will appear in county statistics as heart disease mortality, one more data point in a pattern that transformation could address but that current systems allow to continue.</w:t>
      </w:r>
    </w:p>
    <w:p w14:paraId="5CA6383E" w14:textId="77777777" w:rsidR="00B8638C" w:rsidRDefault="00000000">
      <w:pPr>
        <w:pStyle w:val="Heading1"/>
      </w:pPr>
      <w:bookmarkStart w:id="5" w:name="transformation-implications"/>
      <w:bookmarkEnd w:id="4"/>
      <w:r>
        <w:t>Transformation Implications</w:t>
      </w:r>
    </w:p>
    <w:p w14:paraId="6FC88700" w14:textId="77777777" w:rsidR="00B8638C" w:rsidRDefault="00000000">
      <w:r>
        <w:t>Disease burden data generates specific guidance for RHTP implementation that differs from intuitive assumptions about rural health priorities.</w:t>
      </w:r>
    </w:p>
    <w:p w14:paraId="7AEFFB17" w14:textId="77777777" w:rsidR="00B8638C" w:rsidRDefault="00000000">
      <w:r>
        <w:rPr>
          <w:rStyle w:val="Emphasis"/>
        </w:rPr>
        <w:lastRenderedPageBreak/>
        <w:t>Cardiac infrastructure deserves investment priority</w:t>
      </w:r>
      <w:r>
        <w:t xml:space="preserve"> beyond what current state applications emphasize. Heart disease produces the largest absolute number of excess rural deaths, and cardiac mortality is highly amenable to intervention. Primary care capacity for blood pressure monitoring and medication management, cardiology access through telehealth or itinerant specialists, emergency medical services with cardiac capability, and regional systems for acute intervention all offer documented mortality reduction. States that direct RHTP funding to cardiac access should expect measurable outcome improvement.</w:t>
      </w:r>
    </w:p>
    <w:p w14:paraId="6380975E" w14:textId="77777777" w:rsidR="00B8638C" w:rsidRDefault="00000000">
      <w:r>
        <w:rPr>
          <w:rStyle w:val="Emphasis"/>
        </w:rPr>
        <w:t>Cancer screening infrastructure requires systematic attention</w:t>
      </w:r>
      <w:r>
        <w:t xml:space="preserve"> that facility-focused transformation neglects. Mammography and colonoscopy access matter more for cancer mortality than oncology treatment centers, because early-stage disease caught through screening rarely requires the intensive treatment that late-stage disease demands. Mobile screening units, community health worker navigation for screening completion, and transportation assistance for screening appointments all address cancer mortality more directly than building oncology facilities that treat disease that screening would have prevented.</w:t>
      </w:r>
    </w:p>
    <w:p w14:paraId="573BCE49" w14:textId="77777777" w:rsidR="00B8638C" w:rsidRDefault="00000000">
      <w:r>
        <w:rPr>
          <w:rStyle w:val="Emphasis"/>
        </w:rPr>
        <w:t>Respiratory disease management capacity</w:t>
      </w:r>
      <w:r>
        <w:t xml:space="preserve"> addresses the condition with the largest proportional rural excess but receives limited transformation attention. Pulmonology workforce investments, pulmonary rehabilitation program development, and tobacco cessation infrastructure all offer mortality reduction potential. Yet states prioritize behavioral health and primary care over respiratory specialty access, perhaps because CLRD lacks the public attention that mental health and opioid crises generate.</w:t>
      </w:r>
    </w:p>
    <w:p w14:paraId="2C6597E5" w14:textId="77777777" w:rsidR="00B8638C" w:rsidRDefault="00000000">
      <w:r>
        <w:rPr>
          <w:rStyle w:val="Emphasis"/>
        </w:rPr>
        <w:t>Regional targeting should concentrate resources</w:t>
      </w:r>
      <w:r>
        <w:t xml:space="preserve"> in Delta, Appalachian, and other high-mortality zones rather than distributing investments uniformly across all rural areas. Louisiana receives RHTP funding at rates equivalent to Vermont, but Delta Louisiana faces mortality burdens that rural Vermont does not approach. Geographic equity in funding allocation does not produce health equity in mortality outcomes. Transformation planning that ignores regional mortality concentration will reduce national rural-urban disparities less efficiently than targeting would achieve.</w:t>
      </w:r>
    </w:p>
    <w:p w14:paraId="5080E9B5" w14:textId="77777777" w:rsidR="00B8638C" w:rsidRDefault="00000000">
      <w:r>
        <w:rPr>
          <w:rStyle w:val="Emphasis"/>
        </w:rPr>
        <w:t>Emergency response systems require investment</w:t>
      </w:r>
      <w:r>
        <w:t xml:space="preserve"> that healthcare transformation discussions often exclude. Response time determines mortality for heart attack, stroke, and trauma in ways that no subsequent intervention can overcome. Rural EMS funding, dispatcher training, vehicle capability, and regional trauma system development all reduce mortality but fall outside traditional healthcare transformation frameworks.</w:t>
      </w:r>
    </w:p>
    <w:p w14:paraId="7C92A376" w14:textId="77777777" w:rsidR="00B8638C" w:rsidRDefault="00000000">
      <w:pPr>
        <w:pStyle w:val="Heading1"/>
      </w:pPr>
      <w:bookmarkStart w:id="6" w:name="alternative-perspectives-and-assessment"/>
      <w:bookmarkEnd w:id="5"/>
      <w:r>
        <w:t>Alternative Perspectives and Assessment</w:t>
      </w:r>
    </w:p>
    <w:p w14:paraId="2095D67D" w14:textId="77777777" w:rsidR="00B8638C" w:rsidRDefault="00000000">
      <w:r>
        <w:t>The preceding analysis emphasizes access and infrastructure as mortality drivers. Alternative perspectives deserve explicit engagement.</w:t>
      </w:r>
    </w:p>
    <w:p w14:paraId="2F522D30" w14:textId="77777777" w:rsidR="00B8638C" w:rsidRDefault="00000000">
      <w:r>
        <w:rPr>
          <w:rStyle w:val="Emphasis"/>
        </w:rPr>
        <w:t>One alternative holds that rural mortality reflects selection effects</w:t>
      </w:r>
      <w:r>
        <w:t>: healthier and more capable individuals leave rural areas for urban opportunities, leaving behind populations with higher baseline risk regardless of healthcare access. The out-migration hypothesis finds support in age structure data showing older rural populations and in socioeconomic data showing lower rural incomes and educational attainment. However, the dramatic widening of rural-urban mortality gaps since 1999 cannot reflect selection alone, as rural-to-urban migration rates have not accelerated enough to explain changing disparities. Selection contributes to rural mortality excess but does not explain its trajectory.</w:t>
      </w:r>
    </w:p>
    <w:p w14:paraId="7E9C519E" w14:textId="77777777" w:rsidR="00B8638C" w:rsidRDefault="00000000">
      <w:r>
        <w:rPr>
          <w:rStyle w:val="Emphasis"/>
        </w:rPr>
        <w:t>Another alternative holds that rural mortality reflects cultural factors</w:t>
      </w:r>
      <w:r>
        <w:t xml:space="preserve"> that healthcare cannot address: fatalism about health, distrust of medical institutions, preference for self-reliance over professional care. Qualitative research documents these attitudes in some rural communities, and they may contribute to lower screening rates and delayed care-seeking. However, when healthcare becomes accessible and affordable, rural residents utilize it at rates comparable to urban populations. The Veterans Health Administration, which eliminates financial barriers and operates extensive rural facilities, shows smaller rural-urban mortality gaps than the general population. </w:t>
      </w:r>
      <w:r>
        <w:rPr>
          <w:rStyle w:val="Emphasis"/>
        </w:rPr>
        <w:t>This evidence suggests cultural barriers respond to structural access improvements.</w:t>
      </w:r>
    </w:p>
    <w:p w14:paraId="4DF409AB" w14:textId="77777777" w:rsidR="00B8638C" w:rsidRDefault="00000000">
      <w:r>
        <w:rPr>
          <w:rStyle w:val="Emphasis"/>
        </w:rPr>
        <w:lastRenderedPageBreak/>
        <w:t>A third alternative holds that mortality disparities reflect fundamental differences in what communities can achieve</w:t>
      </w:r>
      <w:r>
        <w:t>, suggesting that transformation resources might better address urban health disparities where impact per dollar could prove greater. This efficiency argument fails on both empirical and ethical grounds. Empirically, healthcare investments in high-mortality regions generate larger mortality reductions than equivalent investments in low-mortality regions because more preventable deaths remain to be prevented. Ethically, efficiency arguments that concentrate investment in already-advantaged populations violate equity commitments that justify public health intervention.</w:t>
      </w:r>
    </w:p>
    <w:p w14:paraId="2623B4EC" w14:textId="77777777" w:rsidR="00B8638C" w:rsidRDefault="00000000">
      <w:r>
        <w:t xml:space="preserve">The weight of evidence supports an interpretation that </w:t>
      </w:r>
      <w:r>
        <w:rPr>
          <w:rStyle w:val="Emphasis"/>
        </w:rPr>
        <w:t>prioritizes access and infrastructure while acknowledging behavioral and cultural contributions</w:t>
      </w:r>
      <w:r>
        <w:t>. Rural mortality excess concentrates in conditions amenable to healthcare, increases when healthcare contracts, and decreases when healthcare expands. These patterns establish causation, not merely correlation. Transformation investments in rural healthcare access should reduce rural mortality, and the reduction should prove measurable within the timeframe that RHTP resources operate.</w:t>
      </w:r>
    </w:p>
    <w:p w14:paraId="42E0865E" w14:textId="77777777" w:rsidR="00B8638C" w:rsidRDefault="00000000">
      <w:pPr>
        <w:pStyle w:val="Heading1"/>
      </w:pPr>
      <w:bookmarkStart w:id="7" w:name="conclusion"/>
      <w:bookmarkEnd w:id="6"/>
      <w:r>
        <w:t>Conclusion</w:t>
      </w:r>
    </w:p>
    <w:p w14:paraId="3A8FACAD" w14:textId="77777777" w:rsidR="00B8638C" w:rsidRDefault="00000000">
      <w:r>
        <w:t>Rural Americans die from heart disease that blood pressure management prevents. They die from cancer that screening would have caught at treatable stages. They die from respiratory failure that pulmonology expertise would have managed. They die from heart attacks during two-hour transports that urban patients complete in fifteen minutes. They die, in short, from the absence of healthcare that other Americans receive as routine.</w:t>
      </w:r>
    </w:p>
    <w:p w14:paraId="34E02B3C" w14:textId="77777777" w:rsidR="00B8638C" w:rsidRDefault="00000000">
      <w:r>
        <w:t xml:space="preserve">The disease burden documented in this article establishes what transformation must address. </w:t>
      </w:r>
      <w:r>
        <w:rPr>
          <w:rStyle w:val="Emphasis"/>
        </w:rPr>
        <w:t>Sixty thousand excess rural deaths occur annually from the five leading causes alone.</w:t>
      </w:r>
      <w:r>
        <w:t xml:space="preserve"> Each death represents years of potential life lost, families disrupted, communities diminished, and economic productivity forfeited. The numbers are large enough to matter for national health outcomes and specific enough to guide investment priorities.</w:t>
      </w:r>
    </w:p>
    <w:p w14:paraId="16E77417" w14:textId="77777777" w:rsidR="00B8638C" w:rsidRDefault="00000000">
      <w:r>
        <w:t>RHTP’s $50 billion cannot eliminate the rural mortality penalty. A decade of focused investment will not reverse generations of infrastructure erosion, economic decline, and population outmigration. But disease burden data clarifies what focused investment can achieve. Cardiac care, cancer screening, respiratory management, emergency response, and regional concentration of resources in the highest-mortality areas offer evidence-based pathways to mortality reduction.</w:t>
      </w:r>
    </w:p>
    <w:p w14:paraId="485D6149" w14:textId="77777777" w:rsidR="00B8638C" w:rsidRDefault="00000000">
      <w:r>
        <w:rPr>
          <w:rStyle w:val="Emphasis"/>
        </w:rPr>
        <w:t>The choice is whether to follow the evidence.</w:t>
      </w:r>
      <w:r>
        <w:t xml:space="preserve"> States will allocate RHTP funding based on political considerations, administrative convenience, stakeholder influence, and genuine uncertainty about what works. Disease burden data provides the clinical grounding that political and administrative processes lack. The mortality numbers indict current systems with precision that anecdote cannot achieve. Whether transformation responds to that indictment will determine whether rural Americans continue dying from conditions their urban counterparts survive.</w:t>
      </w:r>
    </w:p>
    <w:p w14:paraId="4169F992" w14:textId="77777777" w:rsidR="00B8638C" w:rsidRDefault="00000000">
      <w:pPr>
        <w:pStyle w:val="Heading1"/>
      </w:pPr>
      <w:bookmarkStart w:id="8" w:name="cross-references"/>
      <w:bookmarkEnd w:id="7"/>
      <w:r>
        <w:t>Cross-References</w:t>
      </w:r>
    </w:p>
    <w:p w14:paraId="19983DE4" w14:textId="77777777" w:rsidR="00B8638C" w:rsidRPr="002B4CC0" w:rsidRDefault="00000000" w:rsidP="002B4CC0">
      <w:r w:rsidRPr="002B4CC0">
        <w:rPr>
          <w:rStyle w:val="Emphasis"/>
        </w:rPr>
        <w:t>1-TD-C Regional Variation Matrix</w:t>
      </w:r>
      <w:r w:rsidRPr="002B4CC0">
        <w:t>: Detailed mortality data by region supporting geographic targeting</w:t>
      </w:r>
    </w:p>
    <w:p w14:paraId="008B243B" w14:textId="77777777" w:rsidR="00B8638C" w:rsidRPr="002B4CC0" w:rsidRDefault="00000000" w:rsidP="002B4CC0">
      <w:r w:rsidRPr="002B4CC0">
        <w:rPr>
          <w:rStyle w:val="Emphasis"/>
        </w:rPr>
        <w:t>4C Telehealth and Virtual Care</w:t>
      </w:r>
      <w:r w:rsidRPr="002B4CC0">
        <w:t>: Specialty access solutions for high-mortality conditions</w:t>
      </w:r>
    </w:p>
    <w:p w14:paraId="74F99B16" w14:textId="77777777" w:rsidR="00B8638C" w:rsidRPr="002B4CC0" w:rsidRDefault="00000000" w:rsidP="002B4CC0">
      <w:r w:rsidRPr="002B4CC0">
        <w:rPr>
          <w:rStyle w:val="Emphasis"/>
        </w:rPr>
        <w:t>4G Behavioral Health Integration</w:t>
      </w:r>
      <w:r w:rsidRPr="002B4CC0">
        <w:t>: Mental health intervention for deaths of despair</w:t>
      </w:r>
    </w:p>
    <w:p w14:paraId="26BF88EA" w14:textId="77777777" w:rsidR="00B8638C" w:rsidRPr="002B4CC0" w:rsidRDefault="00000000" w:rsidP="002B4CC0">
      <w:r w:rsidRPr="002B4CC0">
        <w:rPr>
          <w:rStyle w:val="Emphasis"/>
        </w:rPr>
        <w:t>7A Critical Access Hospitals</w:t>
      </w:r>
      <w:r w:rsidRPr="002B4CC0">
        <w:t>: Facility capacity for emergency and chronic disease care</w:t>
      </w:r>
    </w:p>
    <w:p w14:paraId="1CF44A02" w14:textId="77777777" w:rsidR="00B8638C" w:rsidRPr="002B4CC0" w:rsidRDefault="00000000" w:rsidP="002B4CC0">
      <w:r w:rsidRPr="002B4CC0">
        <w:rPr>
          <w:rStyle w:val="Emphasis"/>
        </w:rPr>
        <w:t>9G Black Belt and Delta Populations</w:t>
      </w:r>
      <w:r w:rsidRPr="002B4CC0">
        <w:t>: Population-specific mortality concentration</w:t>
      </w:r>
    </w:p>
    <w:p w14:paraId="62C7EFC3" w14:textId="77777777" w:rsidR="00B8638C" w:rsidRPr="002B4CC0" w:rsidRDefault="00000000" w:rsidP="002B4CC0">
      <w:r w:rsidRPr="002B4CC0">
        <w:rPr>
          <w:rStyle w:val="Emphasis"/>
        </w:rPr>
        <w:t>9H Appalachian Communities</w:t>
      </w:r>
      <w:r w:rsidRPr="002B4CC0">
        <w:t>: Regional mortality patterns and intervention needs</w:t>
      </w:r>
    </w:p>
    <w:p w14:paraId="2B45FF28" w14:textId="77777777" w:rsidR="00B8638C" w:rsidRPr="002B4CC0" w:rsidRDefault="00000000" w:rsidP="002B4CC0">
      <w:r w:rsidRPr="002B4CC0">
        <w:rPr>
          <w:rStyle w:val="Emphasis"/>
        </w:rPr>
        <w:t>10C Black Belt</w:t>
      </w:r>
      <w:r w:rsidRPr="002B4CC0">
        <w:t>: Place-based analysis of high-mortality region</w:t>
      </w:r>
    </w:p>
    <w:p w14:paraId="375A69EA" w14:textId="77777777" w:rsidR="00B8638C" w:rsidRPr="002B4CC0" w:rsidRDefault="00000000" w:rsidP="002B4CC0">
      <w:r w:rsidRPr="002B4CC0">
        <w:rPr>
          <w:rStyle w:val="Emphasis"/>
        </w:rPr>
        <w:t>10D Mississippi Delta</w:t>
      </w:r>
      <w:r w:rsidRPr="002B4CC0">
        <w:t>: Place-based analysis of high-mortality region</w:t>
      </w:r>
    </w:p>
    <w:p w14:paraId="229DFB52" w14:textId="77777777" w:rsidR="00B8638C" w:rsidRDefault="00000000">
      <w:pPr>
        <w:pStyle w:val="Heading1"/>
      </w:pPr>
      <w:bookmarkStart w:id="9" w:name="sources"/>
      <w:bookmarkEnd w:id="8"/>
      <w:r>
        <w:lastRenderedPageBreak/>
        <w:t>Sources</w:t>
      </w:r>
    </w:p>
    <w:p w14:paraId="21BF2CF1" w14:textId="77777777" w:rsidR="00B8638C" w:rsidRDefault="00000000">
      <w:r>
        <w:t xml:space="preserve">Centers for Disease Control and Prevention. “Leading Causes of Death in Rural America.” </w:t>
      </w:r>
      <w:r>
        <w:rPr>
          <w:i/>
          <w:iCs/>
        </w:rPr>
        <w:t>CDC Rural Health</w:t>
      </w:r>
      <w:r>
        <w:t>, 11 Mar. 2025, www.cdc.gov/rural-health/php/about/leading-causes-of-death.html.</w:t>
      </w:r>
    </w:p>
    <w:p w14:paraId="3E2BDD36" w14:textId="77777777" w:rsidR="00B8638C" w:rsidRDefault="00000000">
      <w:r>
        <w:t xml:space="preserve">Centers for Disease Control and Prevention. “Preventable Premature Deaths from the Five Leading Causes of Death in Nonmetropolitan and Metropolitan Counties, United States, 2010-2022.” </w:t>
      </w:r>
      <w:r>
        <w:rPr>
          <w:i/>
          <w:iCs/>
        </w:rPr>
        <w:t>Morbidity and Mortality Weekly Report</w:t>
      </w:r>
      <w:r>
        <w:t>, vol. 73, no. 2, 2024, pp. 1-11.</w:t>
      </w:r>
    </w:p>
    <w:p w14:paraId="33D23B48" w14:textId="77777777" w:rsidR="00B8638C" w:rsidRDefault="00000000">
      <w:r>
        <w:t xml:space="preserve">Curtin, Sally C., and Merianne Rose Spencer. “Trends in Death Rates in Urban and Rural Areas: United States, 1999-2019.” </w:t>
      </w:r>
      <w:r>
        <w:rPr>
          <w:i/>
          <w:iCs/>
        </w:rPr>
        <w:t>NCHS Data Brief</w:t>
      </w:r>
      <w:r>
        <w:t>, no. 417, Sept. 2021.</w:t>
      </w:r>
    </w:p>
    <w:p w14:paraId="23390AC1" w14:textId="77777777" w:rsidR="00B8638C" w:rsidRDefault="00000000">
      <w:r>
        <w:t xml:space="preserve">James, Wesley L., et al. “Assessment of Factors Contributing to Health Outcomes in the Eight States of the Mississippi Delta Region.” </w:t>
      </w:r>
      <w:r>
        <w:rPr>
          <w:i/>
          <w:iCs/>
        </w:rPr>
        <w:t>Preventing Chronic Disease</w:t>
      </w:r>
      <w:r>
        <w:t>, vol. 13, 2016, www.cdc.gov/pcd/issues/2016/15_0440.htm.</w:t>
      </w:r>
    </w:p>
    <w:p w14:paraId="5E5E6088" w14:textId="77777777" w:rsidR="00B8638C" w:rsidRDefault="00000000">
      <w:r>
        <w:t xml:space="preserve">Marshall, Julie L., et al. “Health Disparities in Appalachia.” </w:t>
      </w:r>
      <w:r>
        <w:rPr>
          <w:i/>
          <w:iCs/>
        </w:rPr>
        <w:t>Appalachian Regional Commission</w:t>
      </w:r>
      <w:r>
        <w:t>, 2017, www.arc.gov/wp-content/uploads/2021/02/Health_Disparities_in_Appalachia_Mortality_Domain.pdf.</w:t>
      </w:r>
    </w:p>
    <w:p w14:paraId="65AA3A1D" w14:textId="77777777" w:rsidR="00B8638C" w:rsidRDefault="00000000">
      <w:r>
        <w:t xml:space="preserve">Nolte, Ellen, and C. Martin McKee. “In Amenable Mortalityâ€”Deaths Avoidable Through Health Careâ€”Progress in the US Lags That of Three European Countries.” </w:t>
      </w:r>
      <w:r>
        <w:rPr>
          <w:i/>
          <w:iCs/>
        </w:rPr>
        <w:t>Health Affairs</w:t>
      </w:r>
      <w:r>
        <w:t>, vol. 31, no. 9, 2012, pp. 2114-22.</w:t>
      </w:r>
    </w:p>
    <w:p w14:paraId="4E845C47" w14:textId="77777777" w:rsidR="00B8638C" w:rsidRDefault="00000000">
      <w:r>
        <w:t xml:space="preserve">NORC at the University of Chicago. “Appalachian Diseases of Despair.” </w:t>
      </w:r>
      <w:r>
        <w:rPr>
          <w:i/>
          <w:iCs/>
        </w:rPr>
        <w:t>Appalachian Regional Commission</w:t>
      </w:r>
      <w:r>
        <w:t>, Nov. 2022, www.arc.gov/wp-content/uploads/2023/01/Appalachian-Diseases-of-Despair-Update-November-2022.pdf.</w:t>
      </w:r>
    </w:p>
    <w:p w14:paraId="46D4DF4B" w14:textId="77777777" w:rsidR="00B8638C" w:rsidRDefault="00000000">
      <w:r>
        <w:t>Rural Health Information Hub. “Rural Health Disparities Overview.” 2024, www.ruralhealthinfo.org/topics/rural-health-disparities.</w:t>
      </w:r>
    </w:p>
    <w:p w14:paraId="6F870F5E" w14:textId="77777777" w:rsidR="00B8638C" w:rsidRDefault="00000000">
      <w:r>
        <w:t xml:space="preserve">Thomas (Conley), Kathleen L., et al. “The Nature of the Rural-Urban Mortality Gap.” </w:t>
      </w:r>
      <w:r>
        <w:rPr>
          <w:i/>
          <w:iCs/>
        </w:rPr>
        <w:t>USDA Economic Research Service</w:t>
      </w:r>
      <w:r>
        <w:t>, EIB-265, 2024.</w:t>
      </w:r>
    </w:p>
    <w:p w14:paraId="2B658229" w14:textId="77777777" w:rsidR="00B8638C" w:rsidRDefault="00000000">
      <w:r>
        <w:t xml:space="preserve">U.S. Department of Agriculture, Economic Research Service. “Rising Rural Mortality Rates from Natural Causes for Working-Age Adults Lead to Widening Gap with Urban Counterparts.” </w:t>
      </w:r>
      <w:r>
        <w:rPr>
          <w:i/>
          <w:iCs/>
        </w:rPr>
        <w:t>Amber Waves</w:t>
      </w:r>
      <w:r>
        <w:t>, Mar. 2025.</w:t>
      </w:r>
      <w:bookmarkEnd w:id="9"/>
    </w:p>
    <w:sectPr w:rsidR="00B8638C">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F5F29" w14:textId="77777777" w:rsidR="00E36336" w:rsidRDefault="00E36336">
      <w:pPr>
        <w:spacing w:before="0" w:line="240" w:lineRule="auto"/>
      </w:pPr>
      <w:r>
        <w:separator/>
      </w:r>
    </w:p>
  </w:endnote>
  <w:endnote w:type="continuationSeparator" w:id="0">
    <w:p w14:paraId="3E5D3DB0" w14:textId="77777777" w:rsidR="00E36336" w:rsidRDefault="00E36336">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venir Next LT Pro">
    <w:altName w:val="Calibri"/>
    <w:charset w:val="00"/>
    <w:family w:val="swiss"/>
    <w:pitch w:val="variable"/>
    <w:sig w:usb0="800000EF" w:usb1="5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F5E38" w14:textId="77777777" w:rsidR="00000000" w:rsidRDefault="00000000" w:rsidP="000F4A8A">
    <w:pPr>
      <w:pStyle w:val="Footer"/>
    </w:pPr>
    <w:r>
      <w:rPr>
        <w:noProof/>
        <w14:ligatures w14:val="standardContextual"/>
      </w:rPr>
      <mc:AlternateContent>
        <mc:Choice Requires="wps">
          <w:drawing>
            <wp:anchor distT="0" distB="0" distL="114300" distR="114300" simplePos="0" relativeHeight="251657216" behindDoc="0" locked="0" layoutInCell="1" allowOverlap="1" wp14:anchorId="2416F9D9" wp14:editId="54DAE18F">
              <wp:simplePos x="0" y="0"/>
              <wp:positionH relativeFrom="margin">
                <wp:align>right</wp:align>
              </wp:positionH>
              <wp:positionV relativeFrom="paragraph">
                <wp:posOffset>-56318</wp:posOffset>
              </wp:positionV>
              <wp:extent cx="5928303" cy="3399"/>
              <wp:effectExtent l="0" t="0" r="34925" b="34925"/>
              <wp:wrapNone/>
              <wp:docPr id="1330319518" name="Straight Connector 4"/>
              <wp:cNvGraphicFramePr/>
              <a:graphic xmlns:a="http://schemas.openxmlformats.org/drawingml/2006/main">
                <a:graphicData uri="http://schemas.microsoft.com/office/word/2010/wordprocessingShape">
                  <wps:wsp>
                    <wps:cNvCnPr/>
                    <wps:spPr>
                      <a:xfrm flipV="1">
                        <a:off x="0" y="0"/>
                        <a:ext cx="5928303" cy="339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57F177" id="Straight Connector 4" o:spid="_x0000_s1026" style="position:absolute;flip:y;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5.6pt,-4.45pt" to="882.4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" strokecolor="#156082 [3204]" strokeweight=".5pt">
              <v:stroke joinstyle="miter"/>
              <w10:wrap anchorx="margin"/>
            </v:line>
          </w:pict>
        </mc:Fallback>
      </mc:AlternateContent>
    </w:r>
    <w:r>
      <w:rPr>
        <w:noProof/>
      </w:rPr>
      <mc:AlternateContent>
        <mc:Choice Requires="wps">
          <w:drawing>
            <wp:anchor distT="45720" distB="45720" distL="114300" distR="114300" simplePos="0" relativeHeight="251658240" behindDoc="0" locked="0" layoutInCell="1" allowOverlap="1" wp14:anchorId="39B40326" wp14:editId="768430D3">
              <wp:simplePos x="0" y="0"/>
              <wp:positionH relativeFrom="margin">
                <wp:align>left</wp:align>
              </wp:positionH>
              <wp:positionV relativeFrom="paragraph">
                <wp:posOffset>-25726</wp:posOffset>
              </wp:positionV>
              <wp:extent cx="4538007" cy="237691"/>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8007" cy="237691"/>
                      </a:xfrm>
                      <a:prstGeom prst="rect">
                        <a:avLst/>
                      </a:prstGeom>
                      <a:solidFill>
                        <a:srgbClr val="FFFFFF"/>
                      </a:solidFill>
                      <a:ln w="9525">
                        <a:noFill/>
                        <a:miter lim="800000"/>
                        <a:headEnd/>
                        <a:tailEnd/>
                      </a:ln>
                    </wps:spPr>
                    <wps:txbx>
                      <w:txbxContent>
                        <w:p w14:paraId="76C7BE8E" w14:textId="77777777" w:rsidR="00000000" w:rsidRPr="00B31822" w:rsidRDefault="00000000" w:rsidP="000F4A8A">
                          <w:pPr>
                            <w:pStyle w:val="Footer"/>
                            <w:ind w:left="-144"/>
                            <w:rPr>
                              <w:color w:val="156082" w:themeColor="accent1"/>
                              <w:lang w:val="fr-FR"/>
                            </w:rPr>
                          </w:pPr>
                          <w:r w:rsidRPr="00B31822">
                            <w:rPr>
                              <w:color w:val="156082" w:themeColor="accent1"/>
                              <w:lang w:val="fr-FR"/>
                            </w:rPr>
                            <w:t xml:space="preserve">2002 N. Lois Avenue, Suite 200, Tampa, FL 33607 | GroundGame.Health               </w:t>
                          </w:r>
                        </w:p>
                        <w:p w14:paraId="67E65342" w14:textId="77777777" w:rsidR="00000000" w:rsidRPr="00B31822" w:rsidRDefault="00000000" w:rsidP="000F4A8A">
                          <w:pPr>
                            <w:spacing w:before="0" w:line="240" w:lineRule="auto"/>
                            <w:ind w:left="-144"/>
                            <w:rPr>
                              <w:color w:val="156082" w:themeColor="accen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B40326" id="_x0000_t202" coordsize="21600,21600" o:spt="202" path="m,l,21600r21600,l21600,xe">
              <v:stroke joinstyle="miter"/>
              <v:path gradientshapeok="t" o:connecttype="rect"/>
            </v:shapetype>
            <v:shape id="_x0000_s1032" type="#_x0000_t202" style="position:absolute;margin-left:0;margin-top:-2.05pt;width:357.3pt;height:18.7pt;z-index:2516582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" stroked="f">
              <v:textbox>
                <w:txbxContent>
                  <w:p w14:paraId="76C7BE8E" w14:textId="77777777" w:rsidR="00000000" w:rsidRPr="00B31822" w:rsidRDefault="00000000" w:rsidP="000F4A8A">
                    <w:pPr>
                      <w:pStyle w:val="Footer"/>
                      <w:ind w:left="-144"/>
                      <w:rPr>
                        <w:color w:val="156082" w:themeColor="accent1"/>
                        <w:lang w:val="fr-FR"/>
                      </w:rPr>
                    </w:pPr>
                    <w:r w:rsidRPr="00B31822">
                      <w:rPr>
                        <w:color w:val="156082" w:themeColor="accent1"/>
                        <w:lang w:val="fr-FR"/>
                      </w:rPr>
                      <w:t xml:space="preserve">2002 N. Lois Avenue, Suite 200, Tampa, FL 33607 | GroundGame.Health               </w:t>
                    </w:r>
                  </w:p>
                  <w:p w14:paraId="67E65342" w14:textId="77777777" w:rsidR="00000000" w:rsidRPr="00B31822" w:rsidRDefault="00000000" w:rsidP="000F4A8A">
                    <w:pPr>
                      <w:spacing w:before="0" w:line="240" w:lineRule="auto"/>
                      <w:ind w:left="-144"/>
                      <w:rPr>
                        <w:color w:val="156082" w:themeColor="accent1"/>
                      </w:rPr>
                    </w:pPr>
                  </w:p>
                </w:txbxContent>
              </v:textbox>
              <w10:wrap anchorx="margin"/>
            </v:shape>
          </w:pict>
        </mc:Fallback>
      </mc:AlternateContent>
    </w:r>
    <w:r>
      <w:tab/>
    </w:r>
    <w:r>
      <w:tab/>
    </w:r>
  </w:p>
  <w:p w14:paraId="4AAE4157" w14:textId="77777777" w:rsidR="00000000" w:rsidRPr="00E71036" w:rsidRDefault="00000000" w:rsidP="000F4A8A">
    <w:pPr>
      <w:pStyle w:val="Footer"/>
      <w:jc w:val="right"/>
      <w:rPr>
        <w:i/>
        <w:iCs/>
        <w:sz w:val="16"/>
        <w:szCs w:val="16"/>
      </w:rPr>
    </w:pPr>
    <w:r>
      <w:rPr>
        <w:noProof/>
      </w:rPr>
      <mc:AlternateContent>
        <mc:Choice Requires="wps">
          <w:drawing>
            <wp:anchor distT="45720" distB="45720" distL="114300" distR="114300" simplePos="0" relativeHeight="251659264" behindDoc="0" locked="0" layoutInCell="1" allowOverlap="1" wp14:anchorId="44EDD346" wp14:editId="4669BCC8">
              <wp:simplePos x="0" y="0"/>
              <wp:positionH relativeFrom="margin">
                <wp:align>right</wp:align>
              </wp:positionH>
              <wp:positionV relativeFrom="paragraph">
                <wp:posOffset>96745</wp:posOffset>
              </wp:positionV>
              <wp:extent cx="4129405" cy="253584"/>
              <wp:effectExtent l="0" t="0" r="0" b="0"/>
              <wp:wrapNone/>
              <wp:docPr id="18688810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9405" cy="253584"/>
                      </a:xfrm>
                      <a:prstGeom prst="rect">
                        <a:avLst/>
                      </a:prstGeom>
                      <a:noFill/>
                      <a:ln w="9525">
                        <a:noFill/>
                        <a:miter lim="800000"/>
                        <a:headEnd/>
                        <a:tailEnd/>
                      </a:ln>
                    </wps:spPr>
                    <wps:txbx>
                      <w:txbxContent>
                        <w:p w14:paraId="5EDFF47E" w14:textId="77777777" w:rsidR="00000000" w:rsidRPr="00046EE7" w:rsidRDefault="00000000" w:rsidP="000F4A8A">
                          <w:pPr>
                            <w:spacing w:before="0" w:line="240" w:lineRule="auto"/>
                            <w:jc w:val="right"/>
                            <w:rPr>
                              <w:i/>
                              <w:iCs/>
                              <w:szCs w:val="20"/>
                            </w:rPr>
                          </w:pPr>
                          <w:r w:rsidRPr="00B07560">
                            <w:t>Syam Adusumilli,</w:t>
                          </w:r>
                          <w:r>
                            <w:t xml:space="preserve"> </w:t>
                          </w:r>
                          <w:r w:rsidRPr="00B07560">
                            <w:t>Chief</w:t>
                          </w:r>
                          <w:r>
                            <w:t xml:space="preserve"> E</w:t>
                          </w:r>
                          <w:r w:rsidRPr="00B07560">
                            <w:t>vangelist</w:t>
                          </w:r>
                          <w:r>
                            <w:t xml:space="preserve">, </w:t>
                          </w:r>
                          <w:r>
                            <w:rPr>
                              <w:i/>
                              <w:iCs/>
                              <w:szCs w:val="20"/>
                            </w:rPr>
                            <w:t>s</w:t>
                          </w:r>
                          <w:r w:rsidRPr="00046EE7">
                            <w:rPr>
                              <w:i/>
                              <w:iCs/>
                              <w:szCs w:val="20"/>
                            </w:rPr>
                            <w:t>yam.a@groundgame.health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EDD346" id="_x0000_s1033" type="#_x0000_t202" style="position:absolute;left:0;text-align:left;margin-left:273.95pt;margin-top:7.6pt;width:325.15pt;height:19.9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" filled="f" stroked="f">
              <v:textbox>
                <w:txbxContent>
                  <w:p w14:paraId="5EDFF47E" w14:textId="77777777" w:rsidR="00000000" w:rsidRPr="00046EE7" w:rsidRDefault="00000000" w:rsidP="000F4A8A">
                    <w:pPr>
                      <w:spacing w:before="0" w:line="240" w:lineRule="auto"/>
                      <w:jc w:val="right"/>
                      <w:rPr>
                        <w:i/>
                        <w:iCs/>
                        <w:szCs w:val="20"/>
                      </w:rPr>
                    </w:pPr>
                    <w:r w:rsidRPr="00B07560">
                      <w:t>Syam Adusumilli,</w:t>
                    </w:r>
                    <w:r>
                      <w:t xml:space="preserve"> </w:t>
                    </w:r>
                    <w:r w:rsidRPr="00B07560">
                      <w:t>Chief</w:t>
                    </w:r>
                    <w:r>
                      <w:t xml:space="preserve"> E</w:t>
                    </w:r>
                    <w:r w:rsidRPr="00B07560">
                      <w:t>vangelist</w:t>
                    </w:r>
                    <w:r>
                      <w:t xml:space="preserve">, </w:t>
                    </w:r>
                    <w:r>
                      <w:rPr>
                        <w:i/>
                        <w:iCs/>
                        <w:szCs w:val="20"/>
                      </w:rPr>
                      <w:t>s</w:t>
                    </w:r>
                    <w:r w:rsidRPr="00046EE7">
                      <w:rPr>
                        <w:i/>
                        <w:iCs/>
                        <w:szCs w:val="20"/>
                      </w:rPr>
                      <w:t>yam.a@groundgame.health</w:t>
                    </w:r>
                  </w:p>
                </w:txbxContent>
              </v:textbox>
              <w10:wrap anchorx="margin"/>
            </v:shape>
          </w:pict>
        </mc:Fallback>
      </mc:AlternateContent>
    </w:r>
  </w:p>
  <w:p w14:paraId="1A0D8CE3" w14:textId="77777777" w:rsidR="00000000" w:rsidRPr="006D16AB" w:rsidRDefault="00000000" w:rsidP="006D16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3C33F" w14:textId="77777777" w:rsidR="00E36336" w:rsidRDefault="00E36336">
      <w:r>
        <w:separator/>
      </w:r>
    </w:p>
  </w:footnote>
  <w:footnote w:type="continuationSeparator" w:id="0">
    <w:p w14:paraId="1220D17A" w14:textId="77777777" w:rsidR="00E36336" w:rsidRDefault="00E363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2D47B" w14:textId="77777777" w:rsidR="00000000" w:rsidRDefault="00000000">
    <w:pPr>
      <w:pStyle w:val="Header"/>
    </w:pPr>
    <w:r>
      <w:rPr>
        <w:noProof/>
      </w:rPr>
      <mc:AlternateContent>
        <mc:Choice Requires="wps">
          <w:drawing>
            <wp:anchor distT="45720" distB="45720" distL="114300" distR="114300" simplePos="0" relativeHeight="251656192" behindDoc="0" locked="0" layoutInCell="1" allowOverlap="1" wp14:anchorId="6EA4F216" wp14:editId="1CDF87CE">
              <wp:simplePos x="0" y="0"/>
              <wp:positionH relativeFrom="margin">
                <wp:posOffset>-57329</wp:posOffset>
              </wp:positionH>
              <wp:positionV relativeFrom="paragraph">
                <wp:posOffset>-227883</wp:posOffset>
              </wp:positionV>
              <wp:extent cx="4675192" cy="690044"/>
              <wp:effectExtent l="0" t="0" r="0" b="0"/>
              <wp:wrapNone/>
              <wp:docPr id="8306903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5192" cy="690044"/>
                      </a:xfrm>
                      <a:prstGeom prst="rect">
                        <a:avLst/>
                      </a:prstGeom>
                      <a:solidFill>
                        <a:srgbClr val="FFFFFF"/>
                      </a:solidFill>
                      <a:ln w="9525">
                        <a:noFill/>
                        <a:miter lim="800000"/>
                        <a:headEnd/>
                        <a:tailEnd/>
                      </a:ln>
                    </wps:spPr>
                    <wps:txbx>
                      <w:txbxContent>
                        <w:p w14:paraId="3E3BCF7D" w14:textId="77777777" w:rsidR="00B8638C" w:rsidRDefault="00000000">
                          <w:pPr>
                            <w:pStyle w:val="Title"/>
                            <w:rPr>
                              <w:rFonts w:ascii="Aptos Display" w:hAnsi="Aptos Display"/>
                              <w:sz w:val="22"/>
                              <w:szCs w:val="22"/>
                            </w:rPr>
                          </w:pPr>
                          <w:r>
                            <w:rPr>
                              <w:rFonts w:ascii="Aptos Display" w:hAnsi="Aptos Display"/>
                              <w:sz w:val="22"/>
                              <w:szCs w:val="22"/>
                            </w:rPr>
                            <w:t>RHTP 11.A:</w:t>
                          </w:r>
                        </w:p>
                        <w:p w14:paraId="1793B106" w14:textId="77777777" w:rsidR="00B8638C" w:rsidRDefault="00000000">
                          <w:pPr>
                            <w:pStyle w:val="Title"/>
                            <w:rPr>
                              <w:rFonts w:ascii="Aptos Display" w:hAnsi="Aptos Display"/>
                              <w:sz w:val="28"/>
                              <w:szCs w:val="28"/>
                            </w:rPr>
                          </w:pPr>
                          <w:r>
                            <w:rPr>
                              <w:rFonts w:ascii="Aptos Display" w:hAnsi="Aptos Display"/>
                              <w:sz w:val="28"/>
                              <w:szCs w:val="28"/>
                            </w:rPr>
                            <w:t>The Disease Burden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A4F216" id="_x0000_t202" coordsize="21600,21600" o:spt="202" path="m,l,21600r21600,l21600,xe">
              <v:stroke joinstyle="miter"/>
              <v:path gradientshapeok="t" o:connecttype="rect"/>
            </v:shapetype>
            <v:shape id="Text Box 2" o:spid="_x0000_s1026" type="#_x0000_t202" style="position:absolute;margin-left:-4.5pt;margin-top:-17.95pt;width:368.15pt;height:54.35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" stroked="f">
              <v:textbox>
                <w:txbxContent>
                  <w:p w14:paraId="3E3BCF7D" w14:textId="77777777" w:rsidR="00B8638C" w:rsidRDefault="00000000">
                    <w:pPr>
                      <w:pStyle w:val="Title"/>
                      <w:rPr>
                        <w:rFonts w:ascii="Aptos Display" w:hAnsi="Aptos Display"/>
                        <w:sz w:val="22"/>
                        <w:szCs w:val="22"/>
                      </w:rPr>
                    </w:pPr>
                    <w:r>
                      <w:rPr>
                        <w:rFonts w:ascii="Aptos Display" w:hAnsi="Aptos Display"/>
                        <w:sz w:val="22"/>
                        <w:szCs w:val="22"/>
                      </w:rPr>
                      <w:t>RHTP 11.A:</w:t>
                    </w:r>
                  </w:p>
                  <w:p w14:paraId="1793B106" w14:textId="77777777" w:rsidR="00B8638C" w:rsidRDefault="00000000">
                    <w:pPr>
                      <w:pStyle w:val="Title"/>
                      <w:rPr>
                        <w:rFonts w:ascii="Aptos Display" w:hAnsi="Aptos Display"/>
                        <w:sz w:val="28"/>
                        <w:szCs w:val="28"/>
                      </w:rPr>
                    </w:pPr>
                    <w:r>
                      <w:rPr>
                        <w:rFonts w:ascii="Aptos Display" w:hAnsi="Aptos Display"/>
                        <w:sz w:val="28"/>
                        <w:szCs w:val="28"/>
                      </w:rPr>
                      <w:t>The Disease Burden</w:t>
                    </w:r>
                  </w:p>
                </w:txbxContent>
              </v:textbox>
              <w10:wrap anchorx="margin"/>
            </v:shape>
          </w:pict>
        </mc:Fallback>
      </mc:AlternateContent>
    </w:r>
    <w:r>
      <w:rPr>
        <w:noProof/>
      </w:rPr>
      <w:drawing>
        <wp:anchor distT="0" distB="0" distL="114300" distR="114300" simplePos="0" relativeHeight="251660288" behindDoc="0" locked="0" layoutInCell="1" allowOverlap="1" wp14:anchorId="3F1AD434" wp14:editId="617C216A">
          <wp:simplePos x="0" y="0"/>
          <wp:positionH relativeFrom="margin">
            <wp:posOffset>4598984</wp:posOffset>
          </wp:positionH>
          <wp:positionV relativeFrom="paragraph">
            <wp:posOffset>55896</wp:posOffset>
          </wp:positionV>
          <wp:extent cx="1488387" cy="377940"/>
          <wp:effectExtent l="0" t="0" r="0" b="3175"/>
          <wp:wrapNone/>
          <wp:docPr id="599323403" name="Picture 2"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23403" name="Picture 2" descr="A close-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499462" cy="380752"/>
                  </a:xfrm>
                  <a:prstGeom prst="rect">
                    <a:avLst/>
                  </a:prstGeom>
                </pic:spPr>
              </pic:pic>
            </a:graphicData>
          </a:graphic>
          <wp14:sizeRelH relativeFrom="margin">
            <wp14:pctWidth>0</wp14:pctWidth>
          </wp14:sizeRelH>
          <wp14:sizeRelV relativeFrom="margin">
            <wp14:pctHeight>0</wp14:pctHeight>
          </wp14:sizeRelV>
        </wp:anchor>
      </w:drawing>
    </w:r>
    <w:sdt>
      <w:sdtPr>
        <w:id w:val="-1536042918"/>
        <w:docPartObj>
          <w:docPartGallery w:val="Page Numbers (Top of Page)"/>
          <w:docPartUnique/>
        </w:docPartObj>
      </w:sdtPr>
      <w:sdtContent>
        <w:r>
          <w:rPr>
            <w:noProof/>
          </w:rPr>
          <mc:AlternateContent>
            <mc:Choice Requires="wpg">
              <w:drawing>
                <wp:anchor distT="0" distB="0" distL="114300" distR="114300" simplePos="0" relativeHeight="251655168" behindDoc="0" locked="0" layoutInCell="0" allowOverlap="1" wp14:anchorId="5E55B916" wp14:editId="5571752B">
                  <wp:simplePos x="0" y="0"/>
                  <wp:positionH relativeFrom="rightMargin">
                    <wp:align>left</wp:align>
                  </wp:positionH>
                  <wp:positionV relativeFrom="margin">
                    <wp:align>top</wp:align>
                  </wp:positionV>
                  <wp:extent cx="902335" cy="1902460"/>
                  <wp:effectExtent l="0" t="9525" r="12065" b="2540"/>
                  <wp:wrapNone/>
                  <wp:docPr id="164101715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902335" cy="1902460"/>
                            <a:chOff x="13" y="11415"/>
                            <a:chExt cx="1425" cy="2996"/>
                          </a:xfrm>
                        </wpg:grpSpPr>
                        <wpg:grpSp>
                          <wpg:cNvPr id="1600616591" name="Group 7"/>
                          <wpg:cNvGrpSpPr>
                            <a:grpSpLocks/>
                          </wpg:cNvGrpSpPr>
                          <wpg:grpSpPr bwMode="auto">
                            <a:xfrm flipV="1">
                              <a:off x="13" y="14340"/>
                              <a:ext cx="1410" cy="71"/>
                              <a:chOff x="-83" y="540"/>
                              <a:chExt cx="1218" cy="71"/>
                            </a:xfrm>
                          </wpg:grpSpPr>
                          <wps:wsp>
                            <wps:cNvPr id="1820961130" name="Rectangle 8"/>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440951311" name="AutoShape 9"/>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972406835" name="Rectangle 10"/>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2FCD05" w14:textId="77777777" w:rsidR="00000000" w:rsidRDefault="00000000">
                                <w:pPr>
                                  <w:pStyle w:val="NoSpacing"/>
                                  <w:jc w:val="right"/>
                                </w:pPr>
                                <w:r>
                                  <w:fldChar w:fldCharType="begin"/>
                                </w:r>
                                <w:r>
                                  <w:instrText xml:space="preserve"> PAGE    \* MERGEFORMAT </w:instrText>
                                </w:r>
                                <w:r>
                                  <w:fldChar w:fldCharType="separate"/>
                                </w:r>
                                <w:r>
                                  <w:rPr>
                                    <w:b/>
                                    <w:bCs/>
                                    <w:noProof/>
                                    <w:color w:val="0B769F" w:themeColor="accent4" w:themeShade="BF"/>
                                    <w:sz w:val="52"/>
                                    <w:szCs w:val="52"/>
                                  </w:rPr>
                                  <w:t>2</w:t>
                                </w:r>
                                <w:r>
                                  <w:rPr>
                                    <w:b/>
                                    <w:bCs/>
                                    <w:noProof/>
                                    <w:color w:val="0B769F" w:themeColor="accent4" w:themeShade="BF"/>
                                    <w:sz w:val="52"/>
                                    <w:szCs w:val="52"/>
                                  </w:rPr>
                                  <w:fldChar w:fldCharType="end"/>
                                </w:r>
                              </w:p>
                            </w:txbxContent>
                          </wps:txbx>
                          <wps:bodyPr rot="0" vert="vert270" wrap="square" lIns="0" tIns="0" rIns="0" bIns="0" anchor="t" anchorCtr="0" upright="1">
                            <a:noAutofit/>
                          </wps:bodyPr>
                        </wps:wsp>
                      </wpg:wgp>
                    </a:graphicData>
                  </a:graphic>
                  <wp14:sizeRelH relativeFrom="leftMargin">
                    <wp14:pctWidth>100000</wp14:pctWidth>
                  </wp14:sizeRelH>
                  <wp14:sizeRelV relativeFrom="page">
                    <wp14:pctHeight>0</wp14:pctHeight>
                  </wp14:sizeRelV>
                </wp:anchor>
              </w:drawing>
            </mc:Choice>
            <mc:Fallback>
              <w:pict>
                <v:group w14:anchorId="5E55B916" id="Group 1" o:spid="_x0000_s1027" style="position:absolute;margin-left:0;margin-top:0;width:71.05pt;height:149.8pt;flip:x y;z-index:251655168;mso-width-percent:1000;mso-position-horizontal:left;mso-position-horizontal-relative:right-margin-area;mso-position-vertical:top;mso-position-vertical-relative:margin;mso-width-percent:1000;mso-width-relative:lef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" o:allowincell="f">
                  <v:group id="Group 7" o:spid="_x0000_s1028"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">
                    <v:rect id="Rectangle 8" o:spid="_x0000_s1029"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" fillcolor="#5f497a" strokecolor="#5f497a"/>
                    <v:shapetype id="_x0000_t32" coordsize="21600,21600" o:spt="32" o:oned="t" path="m,l21600,21600e" filled="f">
                      <v:path arrowok="t" fillok="f" o:connecttype="none"/>
                      <o:lock v:ext="edit" shapetype="t"/>
                    </v:shapetype>
                    <v:shape id="AutoShape 9" o:spid="_x0000_s1030"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" strokecolor="#5f497a"/>
                  </v:group>
                  <v:rect id="Rectangle 10" o:spid="_x0000_s1031" style="position:absolute;left:405;top:11415;width:10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" stroked="f">
                    <v:textbox style="layout-flow:vertical;mso-layout-flow-alt:bottom-to-top" inset="0,0,0,0">
                      <w:txbxContent>
                        <w:p w14:paraId="122FCD05" w14:textId="77777777" w:rsidR="00000000" w:rsidRDefault="00000000">
                          <w:pPr>
                            <w:pStyle w:val="NoSpacing"/>
                            <w:jc w:val="right"/>
                          </w:pPr>
                          <w:r>
                            <w:fldChar w:fldCharType="begin"/>
                          </w:r>
                          <w:r>
                            <w:instrText xml:space="preserve"> PAGE    \* MERGEFORMAT </w:instrText>
                          </w:r>
                          <w:r>
                            <w:fldChar w:fldCharType="separate"/>
                          </w:r>
                          <w:r>
                            <w:rPr>
                              <w:b/>
                              <w:bCs/>
                              <w:noProof/>
                              <w:color w:val="0B769F" w:themeColor="accent4" w:themeShade="BF"/>
                              <w:sz w:val="52"/>
                              <w:szCs w:val="52"/>
                            </w:rPr>
                            <w:t>2</w:t>
                          </w:r>
                          <w:r>
                            <w:rPr>
                              <w:b/>
                              <w:bCs/>
                              <w:noProof/>
                              <w:color w:val="0B769F" w:themeColor="accent4" w:themeShade="BF"/>
                              <w:sz w:val="52"/>
                              <w:szCs w:val="52"/>
                            </w:rPr>
                            <w:fldChar w:fldCharType="end"/>
                          </w:r>
                        </w:p>
                      </w:txbxContent>
                    </v:textbox>
                  </v:rect>
                  <w10:wrap anchorx="margin" anchory="margin"/>
                </v:group>
              </w:pict>
            </mc:Fallback>
          </mc:AlternateConten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3EA000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D88017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5EC6D8C"/>
    <w:multiLevelType w:val="multilevel"/>
    <w:tmpl w:val="C10A1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A85140"/>
    <w:multiLevelType w:val="multilevel"/>
    <w:tmpl w:val="86A86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5A2656"/>
    <w:multiLevelType w:val="multilevel"/>
    <w:tmpl w:val="EF70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8711D"/>
    <w:multiLevelType w:val="multilevel"/>
    <w:tmpl w:val="47F2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91737E"/>
    <w:multiLevelType w:val="multilevel"/>
    <w:tmpl w:val="D786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846BEA"/>
    <w:multiLevelType w:val="multilevel"/>
    <w:tmpl w:val="62A2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20067E"/>
    <w:multiLevelType w:val="multilevel"/>
    <w:tmpl w:val="A56CC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7E1BC6"/>
    <w:multiLevelType w:val="multilevel"/>
    <w:tmpl w:val="6DD4D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C77A9D"/>
    <w:multiLevelType w:val="multilevel"/>
    <w:tmpl w:val="615A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A34E7A"/>
    <w:multiLevelType w:val="multilevel"/>
    <w:tmpl w:val="EAA2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456CD0"/>
    <w:multiLevelType w:val="multilevel"/>
    <w:tmpl w:val="5D0C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D940E6"/>
    <w:multiLevelType w:val="multilevel"/>
    <w:tmpl w:val="EB1A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013777"/>
    <w:multiLevelType w:val="multilevel"/>
    <w:tmpl w:val="138C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C44F27"/>
    <w:multiLevelType w:val="multilevel"/>
    <w:tmpl w:val="B774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C26AF4"/>
    <w:multiLevelType w:val="multilevel"/>
    <w:tmpl w:val="D2326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E31E72"/>
    <w:multiLevelType w:val="multilevel"/>
    <w:tmpl w:val="50A0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31110D"/>
    <w:multiLevelType w:val="multilevel"/>
    <w:tmpl w:val="9CF6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C36A6D"/>
    <w:multiLevelType w:val="multilevel"/>
    <w:tmpl w:val="5D9EF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0218B5"/>
    <w:multiLevelType w:val="multilevel"/>
    <w:tmpl w:val="1A18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E23A65"/>
    <w:multiLevelType w:val="multilevel"/>
    <w:tmpl w:val="D9705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C56A55"/>
    <w:multiLevelType w:val="multilevel"/>
    <w:tmpl w:val="08564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4D4CE1"/>
    <w:multiLevelType w:val="multilevel"/>
    <w:tmpl w:val="168C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78006B"/>
    <w:multiLevelType w:val="multilevel"/>
    <w:tmpl w:val="87E8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5840FA"/>
    <w:multiLevelType w:val="multilevel"/>
    <w:tmpl w:val="DF72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826B1A"/>
    <w:multiLevelType w:val="multilevel"/>
    <w:tmpl w:val="3E2A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232203">
    <w:abstractNumId w:val="25"/>
  </w:num>
  <w:num w:numId="2" w16cid:durableId="1550805610">
    <w:abstractNumId w:val="18"/>
  </w:num>
  <w:num w:numId="3" w16cid:durableId="30619172">
    <w:abstractNumId w:val="11"/>
  </w:num>
  <w:num w:numId="4" w16cid:durableId="1240483081">
    <w:abstractNumId w:val="12"/>
  </w:num>
  <w:num w:numId="5" w16cid:durableId="515266726">
    <w:abstractNumId w:val="7"/>
  </w:num>
  <w:num w:numId="6" w16cid:durableId="1067149170">
    <w:abstractNumId w:val="10"/>
  </w:num>
  <w:num w:numId="7" w16cid:durableId="608440070">
    <w:abstractNumId w:val="20"/>
  </w:num>
  <w:num w:numId="8" w16cid:durableId="1966036733">
    <w:abstractNumId w:val="5"/>
  </w:num>
  <w:num w:numId="9" w16cid:durableId="673845531">
    <w:abstractNumId w:val="23"/>
  </w:num>
  <w:num w:numId="10" w16cid:durableId="2038849076">
    <w:abstractNumId w:val="24"/>
  </w:num>
  <w:num w:numId="11" w16cid:durableId="263726929">
    <w:abstractNumId w:val="14"/>
  </w:num>
  <w:num w:numId="12" w16cid:durableId="2057654448">
    <w:abstractNumId w:val="4"/>
  </w:num>
  <w:num w:numId="13" w16cid:durableId="1227716637">
    <w:abstractNumId w:val="15"/>
  </w:num>
  <w:num w:numId="14" w16cid:durableId="372073819">
    <w:abstractNumId w:val="13"/>
  </w:num>
  <w:num w:numId="15" w16cid:durableId="1674145809">
    <w:abstractNumId w:val="6"/>
  </w:num>
  <w:num w:numId="16" w16cid:durableId="1752920396">
    <w:abstractNumId w:val="26"/>
  </w:num>
  <w:num w:numId="17" w16cid:durableId="1929608369">
    <w:abstractNumId w:val="17"/>
  </w:num>
  <w:num w:numId="18" w16cid:durableId="1768846872">
    <w:abstractNumId w:val="21"/>
  </w:num>
  <w:num w:numId="19" w16cid:durableId="760953169">
    <w:abstractNumId w:val="9"/>
  </w:num>
  <w:num w:numId="20" w16cid:durableId="262809403">
    <w:abstractNumId w:val="2"/>
  </w:num>
  <w:num w:numId="21" w16cid:durableId="1414474875">
    <w:abstractNumId w:val="19"/>
  </w:num>
  <w:num w:numId="22" w16cid:durableId="55591237">
    <w:abstractNumId w:val="22"/>
  </w:num>
  <w:num w:numId="23" w16cid:durableId="2093548021">
    <w:abstractNumId w:val="8"/>
  </w:num>
  <w:num w:numId="24" w16cid:durableId="1976400285">
    <w:abstractNumId w:val="16"/>
  </w:num>
  <w:num w:numId="25" w16cid:durableId="510527582">
    <w:abstractNumId w:val="3"/>
  </w:num>
  <w:num w:numId="26" w16cid:durableId="1526481678">
    <w:abstractNumId w:val="0"/>
  </w:num>
  <w:num w:numId="27" w16cid:durableId="3962432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6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38C"/>
    <w:rsid w:val="00283908"/>
    <w:rsid w:val="002B4CC0"/>
    <w:rsid w:val="007A29B9"/>
    <w:rsid w:val="00B8638C"/>
    <w:rsid w:val="00E363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18C3F"/>
  <w15:docId w15:val="{C7FB05B3-8786-4DB9-82B4-0C532346C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1407"/>
    <w:pPr>
      <w:spacing w:before="40" w:after="0" w:line="259" w:lineRule="auto"/>
    </w:pPr>
    <w:rPr>
      <w:rFonts w:eastAsiaTheme="minorEastAsia"/>
      <w:kern w:val="0"/>
      <w:sz w:val="20"/>
      <w:szCs w:val="22"/>
      <w14:ligatures w14:val="none"/>
    </w:rPr>
  </w:style>
  <w:style w:type="paragraph" w:styleId="Heading1">
    <w:name w:val="heading 1"/>
    <w:basedOn w:val="Normal"/>
    <w:next w:val="Normal"/>
    <w:link w:val="Heading1Char"/>
    <w:autoRedefine/>
    <w:uiPriority w:val="9"/>
    <w:qFormat/>
    <w:rsid w:val="00A56578"/>
    <w:pPr>
      <w:keepNext/>
      <w:keepLines/>
      <w:outlineLvl w:val="0"/>
    </w:pPr>
    <w:rPr>
      <w:rFonts w:asciiTheme="majorHAnsi" w:eastAsiaTheme="majorEastAsia" w:hAnsiTheme="majorHAnsi" w:cstheme="majorBidi"/>
      <w:color w:val="215E99" w:themeColor="text2" w:themeTint="BF"/>
      <w:kern w:val="2"/>
      <w:sz w:val="28"/>
      <w:szCs w:val="28"/>
      <w14:ligatures w14:val="standardContextual"/>
    </w:rPr>
  </w:style>
  <w:style w:type="paragraph" w:styleId="Heading2">
    <w:name w:val="heading 2"/>
    <w:basedOn w:val="Normal"/>
    <w:next w:val="Normal"/>
    <w:link w:val="Heading2Char"/>
    <w:autoRedefine/>
    <w:uiPriority w:val="9"/>
    <w:unhideWhenUsed/>
    <w:qFormat/>
    <w:rsid w:val="00E47B72"/>
    <w:pPr>
      <w:keepNext/>
      <w:keepLines/>
      <w:spacing w:after="80"/>
      <w:outlineLvl w:val="1"/>
    </w:pPr>
    <w:rPr>
      <w:rFonts w:asciiTheme="majorHAnsi" w:eastAsiaTheme="majorEastAsia" w:hAnsiTheme="majorHAnsi" w:cstheme="majorBidi"/>
      <w:color w:val="0B769F" w:themeColor="accent4" w:themeShade="BF"/>
      <w:kern w:val="2"/>
      <w:sz w:val="24"/>
      <w:szCs w:val="26"/>
      <w14:ligatures w14:val="standardContextual"/>
    </w:rPr>
  </w:style>
  <w:style w:type="paragraph" w:styleId="Heading3">
    <w:name w:val="heading 3"/>
    <w:basedOn w:val="Normal"/>
    <w:next w:val="Normal"/>
    <w:link w:val="Heading3Char"/>
    <w:autoRedefine/>
    <w:uiPriority w:val="9"/>
    <w:unhideWhenUsed/>
    <w:qFormat/>
    <w:rsid w:val="00D938B0"/>
    <w:pPr>
      <w:keepNext/>
      <w:keepLines/>
      <w:outlineLvl w:val="2"/>
    </w:pPr>
    <w:rPr>
      <w:rFonts w:eastAsiaTheme="majorEastAsia" w:cstheme="majorBidi"/>
      <w:b/>
      <w:bCs/>
      <w:i/>
      <w:color w:val="80340D" w:themeColor="accent2" w:themeShade="80"/>
      <w:kern w:val="2"/>
      <w:szCs w:val="24"/>
      <w14:ligatures w14:val="standardContextual"/>
    </w:rPr>
  </w:style>
  <w:style w:type="paragraph" w:styleId="Heading4">
    <w:name w:val="heading 4"/>
    <w:basedOn w:val="Normal"/>
    <w:next w:val="Normal"/>
    <w:link w:val="Heading4Char"/>
    <w:autoRedefine/>
    <w:uiPriority w:val="9"/>
    <w:semiHidden/>
    <w:unhideWhenUsed/>
    <w:qFormat/>
    <w:rsid w:val="00045B39"/>
    <w:pPr>
      <w:keepNext/>
      <w:keepLines/>
      <w:ind w:firstLine="720"/>
      <w:outlineLvl w:val="3"/>
    </w:pPr>
    <w:rPr>
      <w:rFonts w:eastAsiaTheme="majorEastAsia" w:cstheme="majorBidi"/>
      <w:b/>
      <w:bCs/>
      <w:iCs/>
      <w:kern w:val="2"/>
      <w:szCs w:val="24"/>
      <w14:ligatures w14:val="standardContextual"/>
    </w:rPr>
  </w:style>
  <w:style w:type="paragraph" w:styleId="Heading5">
    <w:name w:val="heading 5"/>
    <w:basedOn w:val="Normal"/>
    <w:next w:val="Normal"/>
    <w:link w:val="Heading5Char"/>
    <w:uiPriority w:val="9"/>
    <w:semiHidden/>
    <w:unhideWhenUsed/>
    <w:qFormat/>
    <w:rsid w:val="002F7C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7C56"/>
    <w:pPr>
      <w:keepNext/>
      <w:keepLines/>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C56"/>
    <w:pPr>
      <w:keepNext/>
      <w:keepLines/>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C5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C5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1"/>
    <w:qFormat/>
    <w:rsid w:val="00FD5A9A"/>
    <w:rPr>
      <w:rFonts w:ascii="Avenir Next LT Pro" w:hAnsi="Avenir Next LT Pro"/>
      <w:b w:val="0"/>
      <w:i/>
      <w:iCs/>
      <w:color w:val="80340D" w:themeColor="accent2" w:themeShade="80"/>
      <w:sz w:val="20"/>
    </w:rPr>
  </w:style>
  <w:style w:type="character" w:customStyle="1" w:styleId="Heading3Char">
    <w:name w:val="Heading 3 Char"/>
    <w:basedOn w:val="DefaultParagraphFont"/>
    <w:link w:val="Heading3"/>
    <w:uiPriority w:val="9"/>
    <w:rsid w:val="00D938B0"/>
    <w:rPr>
      <w:rFonts w:eastAsiaTheme="majorEastAsia" w:cstheme="majorBidi"/>
      <w:b/>
      <w:bCs/>
      <w:i/>
      <w:color w:val="80340D" w:themeColor="accent2" w:themeShade="80"/>
      <w:sz w:val="20"/>
    </w:rPr>
  </w:style>
  <w:style w:type="paragraph" w:customStyle="1" w:styleId="References">
    <w:name w:val="References"/>
    <w:basedOn w:val="Normal"/>
    <w:autoRedefine/>
    <w:qFormat/>
    <w:rsid w:val="00045B39"/>
    <w:pPr>
      <w:ind w:left="720" w:hanging="720"/>
    </w:pPr>
    <w:rPr>
      <w:b/>
    </w:rPr>
  </w:style>
  <w:style w:type="character" w:customStyle="1" w:styleId="Heading1Char">
    <w:name w:val="Heading 1 Char"/>
    <w:basedOn w:val="DefaultParagraphFont"/>
    <w:link w:val="Heading1"/>
    <w:uiPriority w:val="9"/>
    <w:rsid w:val="00A56578"/>
    <w:rPr>
      <w:rFonts w:asciiTheme="majorHAnsi" w:eastAsiaTheme="majorEastAsia" w:hAnsiTheme="majorHAnsi" w:cstheme="majorBidi"/>
      <w:color w:val="215E99" w:themeColor="text2" w:themeTint="BF"/>
      <w:sz w:val="28"/>
      <w:szCs w:val="28"/>
    </w:rPr>
  </w:style>
  <w:style w:type="character" w:customStyle="1" w:styleId="Heading2Char">
    <w:name w:val="Heading 2 Char"/>
    <w:basedOn w:val="DefaultParagraphFont"/>
    <w:link w:val="Heading2"/>
    <w:uiPriority w:val="9"/>
    <w:rsid w:val="00E47B72"/>
    <w:rPr>
      <w:rFonts w:asciiTheme="majorHAnsi" w:eastAsiaTheme="majorEastAsia" w:hAnsiTheme="majorHAnsi" w:cstheme="majorBidi"/>
      <w:color w:val="0B769F" w:themeColor="accent4" w:themeShade="BF"/>
      <w:szCs w:val="26"/>
    </w:rPr>
  </w:style>
  <w:style w:type="character" w:customStyle="1" w:styleId="Heading4Char">
    <w:name w:val="Heading 4 Char"/>
    <w:basedOn w:val="DefaultParagraphFont"/>
    <w:link w:val="Heading4"/>
    <w:uiPriority w:val="9"/>
    <w:semiHidden/>
    <w:rsid w:val="00045B39"/>
    <w:rPr>
      <w:rFonts w:ascii="Times New Roman" w:eastAsiaTheme="majorEastAsia" w:hAnsi="Times New Roman" w:cstheme="majorBidi"/>
      <w:b/>
      <w:bCs/>
      <w:iCs/>
    </w:rPr>
  </w:style>
  <w:style w:type="character" w:customStyle="1" w:styleId="Heading5Char">
    <w:name w:val="Heading 5 Char"/>
    <w:basedOn w:val="DefaultParagraphFont"/>
    <w:link w:val="Heading5"/>
    <w:uiPriority w:val="9"/>
    <w:semiHidden/>
    <w:rsid w:val="002F7C56"/>
    <w:rPr>
      <w:rFonts w:eastAsiaTheme="majorEastAsia"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2F7C56"/>
    <w:rPr>
      <w:rFonts w:eastAsiaTheme="majorEastAsia" w:cstheme="majorBidi"/>
      <w:i/>
      <w:iCs/>
      <w:color w:val="595959" w:themeColor="text1" w:themeTint="A6"/>
      <w:kern w:val="0"/>
      <w:szCs w:val="22"/>
      <w14:ligatures w14:val="none"/>
    </w:rPr>
  </w:style>
  <w:style w:type="character" w:customStyle="1" w:styleId="Heading7Char">
    <w:name w:val="Heading 7 Char"/>
    <w:basedOn w:val="DefaultParagraphFont"/>
    <w:link w:val="Heading7"/>
    <w:uiPriority w:val="9"/>
    <w:semiHidden/>
    <w:rsid w:val="002F7C56"/>
    <w:rPr>
      <w:rFonts w:eastAsiaTheme="majorEastAsia" w:cstheme="majorBidi"/>
      <w:color w:val="595959" w:themeColor="text1" w:themeTint="A6"/>
      <w:kern w:val="0"/>
      <w:szCs w:val="22"/>
      <w14:ligatures w14:val="none"/>
    </w:rPr>
  </w:style>
  <w:style w:type="character" w:customStyle="1" w:styleId="Heading8Char">
    <w:name w:val="Heading 8 Char"/>
    <w:basedOn w:val="DefaultParagraphFont"/>
    <w:link w:val="Heading8"/>
    <w:uiPriority w:val="9"/>
    <w:semiHidden/>
    <w:rsid w:val="002F7C56"/>
    <w:rPr>
      <w:rFonts w:eastAsiaTheme="majorEastAsia" w:cstheme="majorBidi"/>
      <w:i/>
      <w:iCs/>
      <w:color w:val="272727" w:themeColor="text1" w:themeTint="D8"/>
      <w:kern w:val="0"/>
      <w:szCs w:val="22"/>
      <w14:ligatures w14:val="none"/>
    </w:rPr>
  </w:style>
  <w:style w:type="character" w:customStyle="1" w:styleId="Heading9Char">
    <w:name w:val="Heading 9 Char"/>
    <w:basedOn w:val="DefaultParagraphFont"/>
    <w:link w:val="Heading9"/>
    <w:uiPriority w:val="9"/>
    <w:semiHidden/>
    <w:rsid w:val="002F7C56"/>
    <w:rPr>
      <w:rFonts w:eastAsiaTheme="majorEastAsia" w:cstheme="majorBidi"/>
      <w:color w:val="272727" w:themeColor="text1" w:themeTint="D8"/>
      <w:kern w:val="0"/>
      <w:szCs w:val="22"/>
      <w14:ligatures w14:val="none"/>
    </w:rPr>
  </w:style>
  <w:style w:type="paragraph" w:styleId="Title">
    <w:name w:val="Title"/>
    <w:basedOn w:val="Normal"/>
    <w:next w:val="Normal"/>
    <w:link w:val="TitleChar"/>
    <w:uiPriority w:val="10"/>
    <w:qFormat/>
    <w:rsid w:val="001B0FAE"/>
    <w:pPr>
      <w:spacing w:after="80" w:line="240" w:lineRule="auto"/>
      <w:contextualSpacing/>
    </w:pPr>
    <w:rPr>
      <w:rFonts w:asciiTheme="majorHAnsi" w:eastAsiaTheme="majorEastAsia" w:hAnsiTheme="majorHAnsi" w:cstheme="majorBidi"/>
      <w:color w:val="156082" w:themeColor="accent1"/>
      <w:spacing w:val="-10"/>
      <w:kern w:val="28"/>
      <w:sz w:val="36"/>
      <w:szCs w:val="56"/>
    </w:rPr>
  </w:style>
  <w:style w:type="character" w:customStyle="1" w:styleId="TitleChar">
    <w:name w:val="Title Char"/>
    <w:basedOn w:val="DefaultParagraphFont"/>
    <w:link w:val="Title"/>
    <w:uiPriority w:val="10"/>
    <w:rsid w:val="001B0FAE"/>
    <w:rPr>
      <w:rFonts w:asciiTheme="majorHAnsi" w:eastAsiaTheme="majorEastAsia" w:hAnsiTheme="majorHAnsi" w:cstheme="majorBidi"/>
      <w:color w:val="156082" w:themeColor="accent1"/>
      <w:spacing w:val="-10"/>
      <w:kern w:val="28"/>
      <w:sz w:val="36"/>
      <w:szCs w:val="56"/>
      <w14:ligatures w14:val="none"/>
    </w:rPr>
  </w:style>
  <w:style w:type="paragraph" w:styleId="Subtitle">
    <w:name w:val="Subtitle"/>
    <w:basedOn w:val="Normal"/>
    <w:next w:val="Normal"/>
    <w:link w:val="SubtitleChar"/>
    <w:uiPriority w:val="11"/>
    <w:qFormat/>
    <w:rsid w:val="002F7C5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C56"/>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2F7C5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7C56"/>
    <w:rPr>
      <w:rFonts w:ascii="Times New Roman" w:eastAsiaTheme="minorEastAsia" w:hAnsi="Times New Roman"/>
      <w:i/>
      <w:iCs/>
      <w:color w:val="404040" w:themeColor="text1" w:themeTint="BF"/>
      <w:kern w:val="0"/>
      <w:szCs w:val="22"/>
      <w14:ligatures w14:val="none"/>
    </w:rPr>
  </w:style>
  <w:style w:type="paragraph" w:styleId="ListParagraph">
    <w:name w:val="List Paragraph"/>
    <w:basedOn w:val="Normal"/>
    <w:uiPriority w:val="34"/>
    <w:qFormat/>
    <w:rsid w:val="002F7C56"/>
    <w:pPr>
      <w:ind w:left="720"/>
      <w:contextualSpacing/>
    </w:pPr>
  </w:style>
  <w:style w:type="paragraph" w:styleId="IntenseQuote">
    <w:name w:val="Intense Quote"/>
    <w:basedOn w:val="Normal"/>
    <w:next w:val="Normal"/>
    <w:link w:val="IntenseQuoteChar"/>
    <w:uiPriority w:val="30"/>
    <w:qFormat/>
    <w:rsid w:val="002F7C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7C56"/>
    <w:rPr>
      <w:rFonts w:ascii="Times New Roman" w:eastAsiaTheme="minorEastAsia" w:hAnsi="Times New Roman"/>
      <w:i/>
      <w:iCs/>
      <w:color w:val="0F4761" w:themeColor="accent1" w:themeShade="BF"/>
      <w:kern w:val="0"/>
      <w:szCs w:val="22"/>
      <w14:ligatures w14:val="none"/>
    </w:rPr>
  </w:style>
  <w:style w:type="character" w:styleId="IntenseReference">
    <w:name w:val="Intense Reference"/>
    <w:basedOn w:val="DefaultParagraphFont"/>
    <w:uiPriority w:val="32"/>
    <w:qFormat/>
    <w:rsid w:val="002F7C56"/>
    <w:rPr>
      <w:b/>
      <w:bCs/>
      <w:smallCaps/>
      <w:color w:val="0F4761" w:themeColor="accent1" w:themeShade="BF"/>
      <w:spacing w:val="5"/>
    </w:rPr>
  </w:style>
  <w:style w:type="character" w:styleId="SubtleEmphasis">
    <w:name w:val="Subtle Emphasis"/>
    <w:basedOn w:val="DefaultParagraphFont"/>
    <w:uiPriority w:val="19"/>
    <w:qFormat/>
    <w:rsid w:val="00A1475C"/>
    <w:rPr>
      <w:rFonts w:asciiTheme="minorHAnsi" w:hAnsiTheme="minorHAnsi"/>
      <w:i/>
      <w:iCs/>
      <w:color w:val="595959" w:themeColor="text1" w:themeTint="A6"/>
      <w:sz w:val="22"/>
    </w:rPr>
  </w:style>
  <w:style w:type="paragraph" w:styleId="Header">
    <w:name w:val="header"/>
    <w:basedOn w:val="Normal"/>
    <w:link w:val="HeaderChar"/>
    <w:uiPriority w:val="99"/>
    <w:unhideWhenUsed/>
    <w:rsid w:val="00FC64BE"/>
    <w:pPr>
      <w:tabs>
        <w:tab w:val="center" w:pos="4680"/>
        <w:tab w:val="right" w:pos="9360"/>
      </w:tabs>
      <w:spacing w:before="0" w:line="240" w:lineRule="auto"/>
    </w:pPr>
  </w:style>
  <w:style w:type="character" w:customStyle="1" w:styleId="HeaderChar">
    <w:name w:val="Header Char"/>
    <w:basedOn w:val="DefaultParagraphFont"/>
    <w:link w:val="Header"/>
    <w:uiPriority w:val="99"/>
    <w:rsid w:val="00FC64BE"/>
    <w:rPr>
      <w:rFonts w:eastAsiaTheme="minorEastAsia"/>
      <w:kern w:val="0"/>
      <w:sz w:val="22"/>
      <w:szCs w:val="22"/>
      <w14:ligatures w14:val="none"/>
    </w:rPr>
  </w:style>
  <w:style w:type="paragraph" w:styleId="Footer">
    <w:name w:val="footer"/>
    <w:basedOn w:val="Normal"/>
    <w:link w:val="FooterChar"/>
    <w:uiPriority w:val="99"/>
    <w:unhideWhenUsed/>
    <w:rsid w:val="00FC64BE"/>
    <w:pPr>
      <w:tabs>
        <w:tab w:val="center" w:pos="4680"/>
        <w:tab w:val="right" w:pos="9360"/>
      </w:tabs>
      <w:spacing w:before="0" w:line="240" w:lineRule="auto"/>
    </w:pPr>
  </w:style>
  <w:style w:type="character" w:customStyle="1" w:styleId="FooterChar">
    <w:name w:val="Footer Char"/>
    <w:basedOn w:val="DefaultParagraphFont"/>
    <w:link w:val="Footer"/>
    <w:uiPriority w:val="99"/>
    <w:rsid w:val="00FC64BE"/>
    <w:rPr>
      <w:rFonts w:eastAsiaTheme="minorEastAsia"/>
      <w:kern w:val="0"/>
      <w:sz w:val="22"/>
      <w:szCs w:val="22"/>
      <w14:ligatures w14:val="none"/>
    </w:rPr>
  </w:style>
  <w:style w:type="paragraph" w:styleId="NoSpacing">
    <w:name w:val="No Spacing"/>
    <w:link w:val="NoSpacingChar"/>
    <w:uiPriority w:val="1"/>
    <w:qFormat/>
    <w:rsid w:val="0074501B"/>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4501B"/>
    <w:rPr>
      <w:rFonts w:eastAsiaTheme="minorEastAsia"/>
      <w:kern w:val="0"/>
      <w:sz w:val="22"/>
      <w:szCs w:val="22"/>
      <w14:ligatures w14:val="none"/>
    </w:rPr>
  </w:style>
  <w:style w:type="character" w:styleId="Emphasis">
    <w:name w:val="Emphasis"/>
    <w:basedOn w:val="DefaultParagraphFont"/>
    <w:uiPriority w:val="20"/>
    <w:qFormat/>
    <w:rsid w:val="005D5A6A"/>
    <w:rPr>
      <w:b/>
      <w:i/>
      <w:iCs/>
      <w:color w:val="0A2F41" w:themeColor="accent1" w:themeShade="80"/>
    </w:rPr>
  </w:style>
  <w:style w:type="table" w:styleId="GridTable1Light">
    <w:name w:val="Grid Table 1 Light"/>
    <w:basedOn w:val="TableNormal"/>
    <w:uiPriority w:val="46"/>
    <w:rsid w:val="00D6277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225D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msonormal0">
    <w:name w:val="msonormal"/>
    <w:basedOn w:val="Normal"/>
    <w:rsid w:val="00C96584"/>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9658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96584"/>
    <w:rPr>
      <w:b/>
      <w:bCs/>
    </w:rPr>
  </w:style>
  <w:style w:type="paragraph" w:styleId="HTMLPreformatted">
    <w:name w:val="HTML Preformatted"/>
    <w:basedOn w:val="Normal"/>
    <w:link w:val="HTMLPreformattedChar"/>
    <w:uiPriority w:val="99"/>
    <w:semiHidden/>
    <w:unhideWhenUsed/>
    <w:rsid w:val="00C965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C9658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96584"/>
    <w:rPr>
      <w:rFonts w:ascii="Courier New" w:eastAsia="Times New Roman" w:hAnsi="Courier New" w:cs="Courier New"/>
      <w:sz w:val="20"/>
      <w:szCs w:val="20"/>
    </w:rPr>
  </w:style>
  <w:style w:type="table" w:styleId="GridTable1Light-Accent4">
    <w:name w:val="Grid Table 1 Light Accent 4"/>
    <w:basedOn w:val="TableNormal"/>
    <w:uiPriority w:val="46"/>
    <w:rsid w:val="0066110A"/>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E72EFB"/>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3996</Words>
  <Characters>22782</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Syam Adusumilli</dc:creator>
  <cp:keywords/>
  <cp:lastModifiedBy>Syam Adusumilli</cp:lastModifiedBy>
  <cp:revision>3</cp:revision>
  <dcterms:created xsi:type="dcterms:W3CDTF">2026-02-05T13:26:00Z</dcterms:created>
  <dcterms:modified xsi:type="dcterms:W3CDTF">2026-02-05T13:27:00Z</dcterms:modified>
</cp:coreProperties>
</file>