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8A5D0E" w14:textId="77777777" w:rsidR="00DB739F" w:rsidRPr="00D24CB0" w:rsidRDefault="00D24CB0">
      <w:pPr>
        <w:pStyle w:val="Title"/>
        <w:rPr>
          <w:sz w:val="24"/>
          <w:szCs w:val="44"/>
        </w:rPr>
      </w:pPr>
      <w:r w:rsidRPr="00D24CB0">
        <w:rPr>
          <w:sz w:val="24"/>
          <w:szCs w:val="44"/>
        </w:rPr>
        <w:t>RHTP 11.B</w:t>
      </w:r>
    </w:p>
    <w:p w14:paraId="3E209603" w14:textId="77777777" w:rsidR="00DB739F" w:rsidRDefault="00D24CB0">
      <w:pPr>
        <w:pStyle w:val="Title"/>
      </w:pPr>
      <w:r>
        <w:t>The Specialty Gap</w:t>
      </w:r>
    </w:p>
    <w:p w14:paraId="0327C636" w14:textId="77777777" w:rsidR="00DB739F" w:rsidRDefault="00D24CB0">
      <w:pPr>
        <w:pStyle w:val="Subtitle"/>
      </w:pPr>
      <w:r>
        <w:t>Clinical Necessity vs. Economic Impossibility</w:t>
      </w:r>
    </w:p>
    <w:p w14:paraId="27EBC648" w14:textId="77777777" w:rsidR="00DB739F" w:rsidRDefault="00D24CB0">
      <w:r>
        <w:t xml:space="preserve">Rural America faces a paradox that no amount of transformation funding can easily resolve: </w:t>
      </w:r>
      <w:r>
        <w:rPr>
          <w:rStyle w:val="Emphasis"/>
        </w:rPr>
        <w:t>the specialists most needed to address rural disease burden cannot economically survive in rural markets</w:t>
      </w:r>
      <w:r>
        <w:t>. Cardiologists require catheterization lab volume that a 25-bed Critical Access Hospital cannot generate. Oncologists need multidisciplinary teams and infusion centers that small towns cannot support. Psychiatrists cluster in metropolitan areas where reimbursement and peer networks make practice viable. The clinical necessity of specialist care collides with the economic impossibility of sustaining it.</w:t>
      </w:r>
    </w:p>
    <w:p w14:paraId="1B2288A2" w14:textId="77777777" w:rsidR="00DB739F" w:rsidRDefault="00D24CB0">
      <w:r>
        <w:t>This collision shapes rural health outcomes more than any single factor. The excess mortality documented in Article 11A concentrates in conditions that specialists treat: heart disease, cancer, stroke, diabetes complications. When the nearest cardiologist practices 87 miles away, cardiac events become cardiac deaths. When oncology requires five hours of travel each direction, cancer becomes a death sentence rather than a chronic condition. When psychiatrists exist only in distant academic centers, mental he</w:t>
      </w:r>
      <w:r>
        <w:t>alth crises resolve through jail, emergency departments, or suicide.</w:t>
      </w:r>
    </w:p>
    <w:p w14:paraId="16E07C7B" w14:textId="77777777" w:rsidR="00DB739F" w:rsidRDefault="00D24CB0">
      <w:r>
        <w:rPr>
          <w:rStyle w:val="Emphasis"/>
        </w:rPr>
        <w:t>The core question is not whether specialists matter but whether any delivery model can bring specialty care to populations too small and dispersed to support it locally.</w:t>
      </w:r>
      <w:r>
        <w:t xml:space="preserve"> Telehealth offers partial solutions. Hub-and-spoke networks extend reach. Enhanced primary care absorbs some specialist functions. But these adaptations face their own limits, and the specialty gap persists as perhaps the most intractable barrier to rural health transformation.</w:t>
      </w:r>
    </w:p>
    <w:p w14:paraId="3D14350E" w14:textId="77777777" w:rsidR="00DB739F" w:rsidRDefault="00D24CB0">
      <w:pPr>
        <w:pStyle w:val="Heading1"/>
      </w:pPr>
      <w:bookmarkStart w:id="0" w:name="the-specialist-distribution-crisis"/>
      <w:r>
        <w:t>The Specialist Distribution Crisis</w:t>
      </w:r>
    </w:p>
    <w:p w14:paraId="4B4420AB" w14:textId="77777777" w:rsidR="00DB739F" w:rsidRDefault="00D24CB0">
      <w:r>
        <w:t xml:space="preserve">The maldistribution of specialists across American geography is staggering in scale and consequence. </w:t>
      </w:r>
      <w:r>
        <w:rPr>
          <w:rStyle w:val="Emphasis"/>
        </w:rPr>
        <w:t>Rural areas average approximately 30 physicians per 100,000 people compared to 263 in urban areas</w:t>
      </w:r>
      <w:r>
        <w:t>, a ratio that understates the specialty disparity because rural physicians are disproportionately primary care providers. For specialists, the gap widens dramatically.</w:t>
      </w:r>
    </w:p>
    <w:p w14:paraId="0FA61E02" w14:textId="77777777" w:rsidR="00DB739F" w:rsidRDefault="00D24CB0">
      <w:r>
        <w:rPr>
          <w:rStyle w:val="Emphasis"/>
        </w:rPr>
        <w:t>Cardiology</w:t>
      </w:r>
      <w:r>
        <w:t xml:space="preserve"> presents the most clinically significant shortage given that heart disease remains the leading cause of rural death. Nearly </w:t>
      </w:r>
      <w:r>
        <w:rPr>
          <w:rStyle w:val="Emphasis"/>
        </w:rPr>
        <w:t>46% of U.S. counties lack practicing cardiologists</w:t>
      </w:r>
      <w:r>
        <w:t>, with 86% of those counties being rural. Patients in counties without cardiologists travel an average of 87 miles to reach one, compared to 16 miles in counties with local cardiologists. This distance translates directly to outcomes: delayed intervention during acute myocardial infarction produces myocardial damage measured in miles t</w:t>
      </w:r>
      <w:r>
        <w:t>raveled.</w:t>
      </w:r>
    </w:p>
    <w:p w14:paraId="72D9FD0D" w14:textId="77777777" w:rsidR="00DB739F" w:rsidRDefault="00D24CB0">
      <w:r>
        <w:rPr>
          <w:rStyle w:val="Emphasis"/>
        </w:rPr>
        <w:t>Oncology</w:t>
      </w:r>
      <w:r>
        <w:t xml:space="preserve"> faces even starker geographic constraints. More than half of all U.S. counties (54%) have no oncologist, representing 60% of U.S. land area and 11% of the population over age 55 (the demographic that accounts for 78% of new cancer diagnoses). Approximately </w:t>
      </w:r>
      <w:r>
        <w:rPr>
          <w:rStyle w:val="Emphasis"/>
        </w:rPr>
        <w:t>20% of rural Americans live more than 60 miles from a medical oncologist</w:t>
      </w:r>
      <w:r>
        <w:t>. Rural patients are less likely to receive specialist consultation during cancer care (OR 0.48), with rural residence independently predicting absence of oncologist involvement rega</w:t>
      </w:r>
      <w:r>
        <w:t>rdless of cancer stage or type.</w:t>
      </w:r>
    </w:p>
    <w:p w14:paraId="2FCDE31F" w14:textId="77777777" w:rsidR="00DB739F" w:rsidRDefault="00D24CB0">
      <w:r>
        <w:rPr>
          <w:rStyle w:val="Emphasis"/>
        </w:rPr>
        <w:t>Psychiatry</w:t>
      </w:r>
      <w:r>
        <w:t xml:space="preserve"> shortage reaches crisis proportions. Only 26.4% of existing psychiatric care need is currently being met by psychiatrists nationally, with rural areas experiencing even more severe deficits. An additional 6,100 to 8,000 psychiatrists would be required merely to remove Health Professional Shortage Area designations for mental health. Child and adolescent psychiatry faces particularly severe shortages, with essentially no rural availability in most states.</w:t>
      </w:r>
    </w:p>
    <w:p w14:paraId="088ED86F" w14:textId="77777777" w:rsidR="00DB739F" w:rsidRDefault="00D24CB0">
      <w:r>
        <w:rPr>
          <w:rStyle w:val="Emphasis"/>
        </w:rPr>
        <w:t>Obstetrics and gynecology</w:t>
      </w:r>
      <w:r>
        <w:t xml:space="preserve"> has produced the most visible crisis through maternity care deserts. Over 35% of U.S. counties qualify as maternity care deserts with no birthing facilities or obstetric clinicians. More than 100 hospitals closed obstetric units between 2020 and 2022 alone, forcing families to travel farther for </w:t>
      </w:r>
      <w:r>
        <w:lastRenderedPageBreak/>
        <w:t xml:space="preserve">prenatal care and delivery. Women in maternity care deserts face </w:t>
      </w:r>
      <w:r>
        <w:rPr>
          <w:rStyle w:val="Emphasis"/>
        </w:rPr>
        <w:t>13% higher risk of preterm birth</w:t>
      </w:r>
      <w:r>
        <w:t xml:space="preserve"> and travel an average of 28 miles to obstetric care compared to 7 miles in full-access areas.</w:t>
      </w:r>
    </w:p>
    <w:p w14:paraId="6B11C854" w14:textId="77777777" w:rsidR="00DB739F" w:rsidRDefault="00D24CB0">
      <w:pPr>
        <w:pStyle w:val="Heading1"/>
      </w:pPr>
      <w:bookmarkStart w:id="1" w:name="Xeceb36a5f8bb731b78cc2960524f5387768f151"/>
      <w:bookmarkEnd w:id="0"/>
      <w:r>
        <w:t>The Core Tension: Clinical Necessity vs. Economic Impossibility</w:t>
      </w:r>
    </w:p>
    <w:p w14:paraId="243F2C96" w14:textId="77777777" w:rsidR="00DB739F" w:rsidRDefault="00D24CB0">
      <w:r>
        <w:t xml:space="preserve">The specialist gap reflects economic logic, not market failure. Specialists require patient volume to maintain competency, cover overhead, and generate income sufficient to service training debt and attract recruitment. </w:t>
      </w:r>
      <w:r>
        <w:rPr>
          <w:rStyle w:val="Emphasis"/>
        </w:rPr>
        <w:t>A cardiologist performing 200 procedures annually maintains better outcomes than one performing 50</w:t>
      </w:r>
      <w:r>
        <w:t>. An oncologist needs multidisciplinary tumor boards, infusion nurses, and pharmacy support that require scale. A psychiatrist in solo rural practice lacks the peer consultation and coverage arrangements that make sustainable careers possible.</w:t>
      </w:r>
    </w:p>
    <w:p w14:paraId="269E49E4" w14:textId="77777777" w:rsidR="00DB739F" w:rsidRDefault="00D24CB0">
      <w:r>
        <w:t xml:space="preserve">Rural populations simply cannot generate adequate volume for most specialists. </w:t>
      </w:r>
      <w:r>
        <w:rPr>
          <w:rStyle w:val="Emphasis"/>
        </w:rPr>
        <w:t>A county of 15,000 people might produce five cancer diagnoses annually, insufficient to support even part-time oncology presence.</w:t>
      </w:r>
      <w:r>
        <w:t xml:space="preserve"> The same county might have 30 acute cardiac events per year, not enough to justify a catheterization lab. Mental health need is substantial, but reimbursement rates (particularly for Medicaid-dominant rural populations) cannot cover specialist overhead.</w:t>
      </w:r>
    </w:p>
    <w:p w14:paraId="218569AD" w14:textId="77777777" w:rsidR="00DB739F" w:rsidRDefault="00D24CB0">
      <w:r>
        <w:t xml:space="preserve">The tension becomes acute when considering </w:t>
      </w:r>
      <w:r>
        <w:rPr>
          <w:rStyle w:val="Emphasis"/>
        </w:rPr>
        <w:t>which specialist absences cause the most harm</w:t>
      </w:r>
      <w:r>
        <w:t>. Cardiology absence delays intervention during acute coronary syndrome, where every minute of ischemia destroys tissue. Oncology absence means cancer diagnosis at later stages when treatment is less effective. Psychiatry absence leaves psychosis, severe depression, and suicidality without medication management. Obstetric absence forces high-risk pregnancies into settings unequipped for complications.</w:t>
      </w:r>
    </w:p>
    <w:p w14:paraId="1633CE05" w14:textId="77777777" w:rsidR="00DB739F" w:rsidRDefault="00D24CB0">
      <w:r>
        <w:t xml:space="preserve">Yet no payment model or market intervention has solved the fundamental mismatch between specialist economics and rural demography. </w:t>
      </w:r>
      <w:r>
        <w:rPr>
          <w:rStyle w:val="Emphasis"/>
        </w:rPr>
        <w:t>Value-based payment cannot create volume that does not exist.</w:t>
      </w:r>
      <w:r>
        <w:t xml:space="preserve"> Loan forgiveness cannot overcome the professional isolation of solo rural specialty practice. Recruitment bonuses cannot compensate for spouse career limitations and children’s educational options in remote areas.</w:t>
      </w:r>
    </w:p>
    <w:p w14:paraId="5C7343D2" w14:textId="77777777" w:rsidR="00DB739F" w:rsidRDefault="00D24CB0">
      <w:r>
        <w:t xml:space="preserve">The economic impossibility is not absolute across all specialties. Some specialists (dermatology, endocrinology, rheumatology) can function effectively through telehealth for most clinical encounters. Others (interventional cardiology, surgical oncology, procedural psychiatry) require physical presence and specialized facilities that telehealth cannot replicate. </w:t>
      </w:r>
      <w:r>
        <w:rPr>
          <w:rStyle w:val="Emphasis"/>
        </w:rPr>
        <w:t>The specialty gap is differentiated by which specialties can adapt to distance care models and which require proximity that rural geography cannot provide.</w:t>
      </w:r>
    </w:p>
    <w:p w14:paraId="4CFDBD5C" w14:textId="77777777" w:rsidR="00DB739F" w:rsidRDefault="00D24CB0">
      <w:pPr>
        <w:pStyle w:val="Heading1"/>
      </w:pPr>
      <w:bookmarkStart w:id="2" w:name="travel-time-and-clinical-consequence"/>
      <w:bookmarkEnd w:id="1"/>
      <w:r>
        <w:t>Travel Time and Clinical Consequence</w:t>
      </w:r>
    </w:p>
    <w:p w14:paraId="3D5645BE" w14:textId="77777777" w:rsidR="00DB739F" w:rsidRDefault="00D24CB0">
      <w:r>
        <w:t xml:space="preserve">Distance to specialists translates directly to clinical outcomes through multiple mechanisms. </w:t>
      </w:r>
      <w:r>
        <w:rPr>
          <w:rStyle w:val="Emphasis"/>
        </w:rPr>
        <w:t>Acute conditions requiring emergent intervention deteriorate during transport.</w:t>
      </w:r>
      <w:r>
        <w:t xml:space="preserve"> Chronic conditions requiring regular specialist management go undertreated when appointments require full-day travel. Preventive specialist services (cardiac rehabilitation, cancer screening, mental health counseling) become inaccessible luxuries.</w:t>
      </w:r>
    </w:p>
    <w:p w14:paraId="31BE6344" w14:textId="77777777" w:rsidR="00DB739F" w:rsidRDefault="00D24CB0">
      <w:r>
        <w:t>Cardiology illustrates the acute care consequences. In Iowa, where visiting consultant clinics have expanded access, the average drive time to a cardiologist drops from 42 minutes to 15 minutes in counties with outreach programs. Without such programs, rural cardiac patients face round-trip travel times approaching three hours for routine appointments and potentially fatal delays during acute events. Traveling cardiologists in Iowa drive an estimated 45,000 miles monthly to staff outreach clinics, with oppo</w:t>
      </w:r>
      <w:r>
        <w:t>rtunity costs exceeding $2 million annually.</w:t>
      </w:r>
    </w:p>
    <w:p w14:paraId="6FF2E7FD" w14:textId="77777777" w:rsidR="00DB739F" w:rsidRDefault="00D24CB0">
      <w:r>
        <w:t xml:space="preserve">Maternity care demonstrates the lifecycle consequences. Rural pregnant women in maternity care deserts average 33 miles travel to obstetric care, with some regions requiring over 60 miles. </w:t>
      </w:r>
      <w:r>
        <w:rPr>
          <w:rStyle w:val="Emphasis"/>
        </w:rPr>
        <w:t>Women who drove 45 minutes or more to delivery hospitals were 1.53 times more likely to have premature delivery</w:t>
      </w:r>
      <w:r>
        <w:t xml:space="preserve"> than those driving less than 15 minutes. The stress of travel, the inaccessibility of prenatal appointments, and the risk of </w:t>
      </w:r>
      <w:r>
        <w:lastRenderedPageBreak/>
        <w:t>precipitous delivery on rural roads compound to produce maternal and infant morbidity that would be preventable with local access.</w:t>
      </w:r>
    </w:p>
    <w:p w14:paraId="54BACF44" w14:textId="77777777" w:rsidR="00DB739F" w:rsidRDefault="00D24CB0">
      <w:r>
        <w:t xml:space="preserve">Oncology reveals the chronic care consequences. Cancer treatment typically requires multiple visits over months to years: chemotherapy infusions, radiation therapy sessions, surgical consultations, surveillance imaging, and survivorship care. When each visit requires 500-mile round trips, patients skip appointments, delay treatment, or abandon care entirely. </w:t>
      </w:r>
      <w:r>
        <w:rPr>
          <w:rStyle w:val="Emphasis"/>
        </w:rPr>
        <w:t>Patients living more than 20 miles from their care location in second and third trimesters experience increased risk of adverse pregnancy outcomes</w:t>
      </w:r>
      <w:r>
        <w:t>, with similar patterns emerging in oncology survivorship.</w:t>
      </w:r>
    </w:p>
    <w:p w14:paraId="1DAE555F" w14:textId="77777777" w:rsidR="00DB739F" w:rsidRDefault="00D24CB0">
      <w:pPr>
        <w:pStyle w:val="Heading1"/>
      </w:pPr>
      <w:bookmarkStart w:id="3" w:name="the-telehealth-solution-and-its-limits"/>
      <w:bookmarkEnd w:id="2"/>
      <w:r>
        <w:t>The Telehealth Solution and Its Limits</w:t>
      </w:r>
    </w:p>
    <w:p w14:paraId="440DE60B" w14:textId="77777777" w:rsidR="00DB739F" w:rsidRDefault="00D24CB0">
      <w:r>
        <w:t xml:space="preserve">Telehealth has emerged as the primary strategy for extending specialist access to rural populations. </w:t>
      </w:r>
      <w:r>
        <w:rPr>
          <w:rStyle w:val="Emphasis"/>
        </w:rPr>
        <w:t>Project ECHO (Extension for Community Healthcare Outcomes) demonstrates that primary care providers can manage complex conditions when supported by specialist telementoring</w:t>
      </w:r>
      <w:r>
        <w:t>. Psychiatry e-consults achieve 94% implementation of specialist recommendations without requiring patient travel. Tele-stroke networks enable thrombolytic administration in rural emergency departments with neurologist guidance.</w:t>
      </w:r>
    </w:p>
    <w:p w14:paraId="643F073D" w14:textId="77777777" w:rsidR="00DB739F" w:rsidRDefault="00D24CB0">
      <w:r>
        <w:t xml:space="preserve">The evidence for telehealth varies substantially by specialty. </w:t>
      </w:r>
      <w:r>
        <w:rPr>
          <w:rStyle w:val="Emphasis"/>
        </w:rPr>
        <w:t>Psychiatry and behavioral health demonstrate strong effectiveness</w:t>
      </w:r>
      <w:r>
        <w:t>, with telepsychiatry consultations reducing emergency department behavioral health wait times and enabling medication management at distance. Dermatology achieves high diagnostic accuracy through store-and-forward image review. Cardiology e-consults help primary care manage chronic heart failure and arrhythmias, though acute cardiac intervention obviously requires physical presence.</w:t>
      </w:r>
    </w:p>
    <w:p w14:paraId="6105A7CB" w14:textId="77777777" w:rsidR="00DB739F" w:rsidRDefault="00D24CB0">
      <w:r>
        <w:t>New Mexico’s RHTP plan exemplifies telehealth integration, expanding Project ECHO tele-mentoring with targets of increasing virtual consults by 15% and reducing hospital readmissions by 5%. Colorado’s plan invests $255.5 million in telehealth infrastructure for behavioral health, obstetrics, and chronic disease management. Arizona incorporates regional tele-OB consults and perinatal psychiatric helplines to address maternity care deserts.</w:t>
      </w:r>
    </w:p>
    <w:p w14:paraId="31030185" w14:textId="77777777" w:rsidR="00DB739F" w:rsidRDefault="00D24CB0">
      <w:r>
        <w:t xml:space="preserve">Yet telehealth cannot resolve the specialty gap entirely. </w:t>
      </w:r>
      <w:r>
        <w:rPr>
          <w:rStyle w:val="Emphasis"/>
        </w:rPr>
        <w:t>Procedures cannot be performed remotely.</w:t>
      </w:r>
      <w:r>
        <w:t xml:space="preserve"> Cardiac catheterization, cancer surgery, dialysis, and labor and delivery require physical presence of both specialist and patient in appropriately equipped facilities. Telehealth extends specialist cognitive capacity (diagnosis, medication management, care coordination) but not specialist procedural capacity (intervention, surgery, hands-on examination).</w:t>
      </w:r>
    </w:p>
    <w:p w14:paraId="5B5E1EEF" w14:textId="77777777" w:rsidR="00DB739F" w:rsidRDefault="00D24CB0">
      <w:r>
        <w:t>The financial sustainability of telehealth also remains uncertain. Reimbursement for telehealth consultations typically flows to the remote specialist rather than the local hospital or clinic, making it difficult for rural facilities to recover costs of telehealth infrastructure. Medicare and Medicaid reimbursement has improved but often remains insufficient to sustain dedicated telehealth programs without grant support.</w:t>
      </w:r>
    </w:p>
    <w:p w14:paraId="44D5ABF0" w14:textId="77777777" w:rsidR="00DB739F" w:rsidRDefault="00D24CB0">
      <w:pPr>
        <w:pStyle w:val="Heading1"/>
      </w:pPr>
      <w:bookmarkStart w:id="4" w:name="when-margarets-heart-failed"/>
      <w:bookmarkEnd w:id="3"/>
      <w:r>
        <w:t>When Margaret’s Heart Failed</w:t>
      </w:r>
    </w:p>
    <w:p w14:paraId="5431EC5B" w14:textId="77777777" w:rsidR="00DB739F" w:rsidRDefault="00D24CB0">
      <w:r>
        <w:t>Margaret Chen farmed wheat and canola outside Wing, North Dakota, population 98, for forty-three years after her husband died. At seventy-one, she managed her hypertension and diabetes through quarterly visits to a nurse practitioner in Napoleon, 18 miles away, who consulted by phone with an internist in Bismarck when questions arose. The arrangement worked until it did not.</w:t>
      </w:r>
    </w:p>
    <w:p w14:paraId="1A45348E" w14:textId="77777777" w:rsidR="00DB739F" w:rsidRDefault="00D24CB0">
      <w:r>
        <w:t>The chest pressure started during evening chores. Margaret recognized it as different from her usual aches, finished feeding the chickens anyway, then called her daughter in Fargo. By the time the volunteer ambulance crew arrived from Napoleon, ninety minutes had passed. The nearest catheterization lab was in Bismarck, 78 miles northwest on Highway 83. Margaret received aspirin and nitroglycerin but the ambulance was not equipped for thrombolytics, and the paramedic was not trained to administer them.</w:t>
      </w:r>
    </w:p>
    <w:p w14:paraId="6BFDE8BA" w14:textId="77777777" w:rsidR="00DB739F" w:rsidRDefault="00D24CB0">
      <w:r>
        <w:rPr>
          <w:rStyle w:val="Emphasis"/>
        </w:rPr>
        <w:t>The trip to Bismarck took another ninety minutes including weather delay.</w:t>
      </w:r>
      <w:r>
        <w:t xml:space="preserve"> By the time Margaret reached the cath lab, four and a half hours had elapsed since symptom onset. The interventional cardiologist placed </w:t>
      </w:r>
      <w:r>
        <w:lastRenderedPageBreak/>
        <w:t>stents in two occluded vessels, but the damage was done. Margaret survived her myocardial infarction with an ejection fraction of 30%, meaning her heart pumped at half normal efficiency.</w:t>
      </w:r>
    </w:p>
    <w:p w14:paraId="06D609CE" w14:textId="77777777" w:rsidR="00DB739F" w:rsidRDefault="00D24CB0">
      <w:r>
        <w:t xml:space="preserve">Cardiac rehabilitation might have improved her outcomes, but the nearest program was in Bismarck. Margaret tried attending twice weekly for the recommended twelve weeks, but </w:t>
      </w:r>
      <w:r>
        <w:rPr>
          <w:rStyle w:val="Emphasis"/>
        </w:rPr>
        <w:t>the three-hour round trip exhausted her more than the exercises helped</w:t>
      </w:r>
      <w:r>
        <w:t>. She completed four weeks before stopping. A home-based telehealth cardiac rehab program existed, but Margaret’s farmhouse lacked reliable internet until Starlink arrived two years later.</w:t>
      </w:r>
    </w:p>
    <w:p w14:paraId="5C42DC68" w14:textId="77777777" w:rsidR="00DB739F" w:rsidRDefault="00D24CB0">
      <w:r>
        <w:t>She sold the farm the following spring, moved to assisted living in Jamestown (where there was still no cardiologist), and died of heart failure eighteen months later. Her daughter wondered afterward whether it would have been different if the ambulance had arrived faster, if the cath lab had been closer, if the rehab had been accessible. The answer, of course, was yes to all three, but economic impossibility made each counterfactual irrelevant to the reality of Wing, North Dakota.</w:t>
      </w:r>
    </w:p>
    <w:p w14:paraId="0C0E60F2" w14:textId="77777777" w:rsidR="00DB739F" w:rsidRDefault="00D24CB0">
      <w:pPr>
        <w:pStyle w:val="Heading1"/>
      </w:pPr>
      <w:bookmarkStart w:id="5" w:name="the-enhanced-primary-care-alternative"/>
      <w:bookmarkEnd w:id="4"/>
      <w:r>
        <w:t>The Enhanced Primary Care Alternative</w:t>
      </w:r>
    </w:p>
    <w:p w14:paraId="1EA9CB41" w14:textId="77777777" w:rsidR="00DB739F" w:rsidRDefault="00D24CB0">
      <w:r>
        <w:t xml:space="preserve">An alternative perspective challenges the specialist-centric framing of rural healthcare needs. </w:t>
      </w:r>
      <w:r>
        <w:rPr>
          <w:rStyle w:val="Emphasis"/>
        </w:rPr>
        <w:t>Primary care physicians, with appropriate training and support, can manage most conditions that specialists currently treat.</w:t>
      </w:r>
      <w:r>
        <w:t xml:space="preserve"> The specialist obsession reflects urban-centric medical culture rather than clinical necessity. In the absence of specialists, primary care has always adapted to manage complex patients.</w:t>
      </w:r>
    </w:p>
    <w:p w14:paraId="72E73DF3" w14:textId="77777777" w:rsidR="00DB739F" w:rsidRDefault="00D24CB0">
      <w:r>
        <w:t xml:space="preserve">This argument carries significant validity for many conditions. Family physicians historically provided obstetric care (and still do in 16% of maternity care deserts where they are the sole perinatal providers). Primary care manages uncomplicated diabetes, hypertension, heart failure, and depression effectively without specialist involvement. </w:t>
      </w:r>
      <w:r>
        <w:rPr>
          <w:rStyle w:val="Emphasis"/>
        </w:rPr>
        <w:t>Project ECHO demonstrates that primary care providers can achieve specialist-level outcomes in hepatitis C treatment, chronic pain management, and dementia care with telementoring support.</w:t>
      </w:r>
    </w:p>
    <w:p w14:paraId="2C407C1B" w14:textId="77777777" w:rsidR="00DB739F" w:rsidRDefault="00D24CB0">
      <w:r>
        <w:t xml:space="preserve">The evidence suggests approximately 80% of psychiatric e-consults involve medication management that primary care can implement with specialist guidance. Cardiology e-consults frequently result in recommendations primary care can execute: medication adjustments, monitoring protocols, lifestyle interventions. The specialist serves as consultant rather than direct care provider, </w:t>
      </w:r>
      <w:r>
        <w:rPr>
          <w:rStyle w:val="Emphasis"/>
        </w:rPr>
        <w:t>extending expertise without requiring patient travel or specialist relocation</w:t>
      </w:r>
      <w:r>
        <w:t>.</w:t>
      </w:r>
    </w:p>
    <w:p w14:paraId="40E5CFC8" w14:textId="77777777" w:rsidR="00DB739F" w:rsidRDefault="00D24CB0">
      <w:r>
        <w:t xml:space="preserve">However, the enhanced primary care model faces its own limitations. Primary care in rural areas already struggles with physician shortages; adding specialist functions increases burden on an already strained workforce. Insurance credentialing may not recognize primary care providers managing conditions outside their specialty. Malpractice concerns arise when family physicians manage complex oncology or high-risk pregnancies. </w:t>
      </w:r>
      <w:r>
        <w:rPr>
          <w:rStyle w:val="Emphasis"/>
        </w:rPr>
        <w:t>Not all specialist functions can be absorbed into primary care regardless of training</w:t>
      </w:r>
      <w:r>
        <w:t>: no amount of ECHO sessions enables a family physician to perform cardiac catheterization.</w:t>
      </w:r>
    </w:p>
    <w:p w14:paraId="4B60F96E" w14:textId="77777777" w:rsidR="00DB739F" w:rsidRDefault="00D24CB0">
      <w:r>
        <w:t>The evidence supports a hybrid model where enhanced primary care manages routine specialist conditions while hub-and-spoke networks provide access to procedural and subspecialty care requiring physical presence. This model requires investment in primary care capacity, telehealth infrastructure, and specialist outreach programs simultaneously.</w:t>
      </w:r>
    </w:p>
    <w:p w14:paraId="624DDFA1" w14:textId="77777777" w:rsidR="00DB739F" w:rsidRDefault="00D24CB0">
      <w:pPr>
        <w:pStyle w:val="Heading1"/>
      </w:pPr>
      <w:bookmarkStart w:id="6" w:name="rhtp-implications"/>
      <w:bookmarkEnd w:id="5"/>
      <w:r>
        <w:t>RHTP Implications</w:t>
      </w:r>
    </w:p>
    <w:p w14:paraId="60890831" w14:textId="77777777" w:rsidR="00DB739F" w:rsidRDefault="00D24CB0">
      <w:r>
        <w:t xml:space="preserve">State RHTP plans universally recognize the specialty gap but approach it through varied strategies with uncertain effectiveness. </w:t>
      </w:r>
      <w:r>
        <w:rPr>
          <w:rStyle w:val="Emphasis"/>
        </w:rPr>
        <w:t>Texas prioritizes pediatric specialty networks and behavioral health integration, investing in infrastructure without addressing the fundamental volume problem.</w:t>
      </w:r>
      <w:r>
        <w:t xml:space="preserve"> Mississippi proposes loan repayment and recruitment incentives that may attract specialists temporarily without creating sustainable practice models.</w:t>
      </w:r>
    </w:p>
    <w:p w14:paraId="040C1E70" w14:textId="77777777" w:rsidR="00DB739F" w:rsidRDefault="00D24CB0">
      <w:r>
        <w:t xml:space="preserve">The more promising approaches combine multiple modalities: telehealth for specialty consultation, enhanced primary care training for condition management, hub-and-spoke networks for procedural access, </w:t>
      </w:r>
      <w:r>
        <w:lastRenderedPageBreak/>
        <w:t>and transportation support for necessary travel. Colorado’s 95% rural hospital telehealth capability target, combined with workforce training that incorporates telehealth protocols, represents the most comprehensive approach.</w:t>
      </w:r>
    </w:p>
    <w:p w14:paraId="5FF871F9" w14:textId="77777777" w:rsidR="00DB739F" w:rsidRDefault="00D24CB0">
      <w:r>
        <w:rPr>
          <w:rStyle w:val="Emphasis"/>
        </w:rPr>
        <w:t>Yet RHTP cannot solve the specialty gap under current funding constraints.</w:t>
      </w:r>
      <w:r>
        <w:t xml:space="preserve"> The $50 billion investment over ten years, distributed across 50 states, cannot subsidize specialist salaries sufficient to overcome market economics. State plans that propose specialist recruitment without sustainable payment models will see recruits depart when incentive funding ends. The specialty gap may narrow in telehealth-amenable domains while persisting or widening for procedural specialties.</w:t>
      </w:r>
    </w:p>
    <w:p w14:paraId="59393BA4" w14:textId="77777777" w:rsidR="00DB739F" w:rsidRDefault="00D24CB0">
      <w:r>
        <w:t xml:space="preserve">Honest assessment suggests </w:t>
      </w:r>
      <w:r>
        <w:rPr>
          <w:rStyle w:val="Emphasis"/>
        </w:rPr>
        <w:t>transformation should prioritize making specialist absence less deadly rather than eliminating specialist absence entirely</w:t>
      </w:r>
      <w:r>
        <w:t>. This means investing in emergency medical services capable of delivering time-sensitive interventions, primary care capacity to manage conditions between specialist consultations, and telehealth infrastructure to extend specialist cognitive capacity. The gap will persist; the question is whether rural residents die in that gap or navigate it.</w:t>
      </w:r>
    </w:p>
    <w:p w14:paraId="03B1E8C9" w14:textId="77777777" w:rsidR="00DB739F" w:rsidRDefault="00D24CB0">
      <w:pPr>
        <w:pStyle w:val="Heading1"/>
      </w:pPr>
      <w:bookmarkStart w:id="7" w:name="conclusion"/>
      <w:bookmarkEnd w:id="6"/>
      <w:r>
        <w:t>Conclusion</w:t>
      </w:r>
    </w:p>
    <w:p w14:paraId="5B3C1134" w14:textId="77777777" w:rsidR="00DB739F" w:rsidRDefault="00D24CB0">
      <w:r>
        <w:t>The specialty gap represents perhaps the most intractable challenge in rural health transformation. Clinical necessity collides with economic impossibility across cardiology, oncology, psychiatry, obstetrics, and other specialties whose absence shapes rural mortality patterns. No payment model has solved the fundamental mismatch between specialist economics and rural demography.</w:t>
      </w:r>
    </w:p>
    <w:p w14:paraId="2A6CDBD9" w14:textId="77777777" w:rsidR="00DB739F" w:rsidRDefault="00D24CB0">
      <w:r>
        <w:t xml:space="preserve">Telehealth offers genuine solutions for specialist cognitive functions but cannot replace procedural presence. Enhanced primary care can absorb many specialist functions with appropriate support but faces its own capacity constraints. Hub-and-spoke networks extend reach but impose travel burdens that many rural residents cannot sustain. </w:t>
      </w:r>
      <w:r>
        <w:rPr>
          <w:rStyle w:val="Emphasis"/>
        </w:rPr>
        <w:t>RHTP investments may narrow the gap in specific domains while leaving the fundamental tension unresolved.</w:t>
      </w:r>
    </w:p>
    <w:p w14:paraId="2D3AD326" w14:textId="77777777" w:rsidR="00DB739F" w:rsidRDefault="00D24CB0">
      <w:r>
        <w:t>The clinical reality is that rural Americans will continue dying from conditions that specialists could treat, and transformation success must be measured not by eliminating this gap but by reducing its lethality through every available mechanism.</w:t>
      </w:r>
    </w:p>
    <w:p w14:paraId="44C31EF0" w14:textId="77777777" w:rsidR="00DB739F" w:rsidRDefault="00D24CB0">
      <w:pPr>
        <w:pStyle w:val="Heading1"/>
      </w:pPr>
      <w:bookmarkStart w:id="8" w:name="cross-references"/>
      <w:bookmarkEnd w:id="7"/>
      <w:r>
        <w:t>Cross-References</w:t>
      </w:r>
    </w:p>
    <w:p w14:paraId="0C86B7A1" w14:textId="77777777" w:rsidR="00DB739F" w:rsidRDefault="00D24CB0" w:rsidP="00D24CB0">
      <w:r>
        <w:rPr>
          <w:rStyle w:val="Emphasis"/>
        </w:rPr>
        <w:t>Article 11A: The Disease Burden</w:t>
      </w:r>
      <w:r>
        <w:t xml:space="preserve"> documents mortality patterns that specialist absence produces</w:t>
      </w:r>
    </w:p>
    <w:p w14:paraId="273F582F" w14:textId="77777777" w:rsidR="00DB739F" w:rsidRDefault="00D24CB0" w:rsidP="00D24CB0">
      <w:r>
        <w:rPr>
          <w:rStyle w:val="Emphasis"/>
        </w:rPr>
        <w:t>Article 4C: Telehealth and Virtual Care</w:t>
      </w:r>
      <w:r>
        <w:t xml:space="preserve"> </w:t>
      </w:r>
      <w:proofErr w:type="gramStart"/>
      <w:r>
        <w:t>examines</w:t>
      </w:r>
      <w:proofErr w:type="gramEnd"/>
      <w:r>
        <w:t xml:space="preserve"> telehealth effectiveness for specialty access</w:t>
      </w:r>
    </w:p>
    <w:p w14:paraId="4426BB7F" w14:textId="77777777" w:rsidR="00DB739F" w:rsidRDefault="00D24CB0" w:rsidP="00D24CB0">
      <w:r>
        <w:rPr>
          <w:rStyle w:val="Emphasis"/>
        </w:rPr>
        <w:t>Article 4E: Hub-and-Spoke Networks</w:t>
      </w:r>
      <w:r>
        <w:t xml:space="preserve"> analyzes referral systems extending specialist reach</w:t>
      </w:r>
    </w:p>
    <w:p w14:paraId="1CF3C85D" w14:textId="77777777" w:rsidR="00DB739F" w:rsidRDefault="00D24CB0" w:rsidP="00D24CB0">
      <w:r>
        <w:rPr>
          <w:rStyle w:val="Emphasis"/>
        </w:rPr>
        <w:t>Article 7A: Critical Access Hospitals</w:t>
      </w:r>
      <w:r>
        <w:t xml:space="preserve"> </w:t>
      </w:r>
      <w:proofErr w:type="gramStart"/>
      <w:r>
        <w:t>assesses</w:t>
      </w:r>
      <w:proofErr w:type="gramEnd"/>
      <w:r>
        <w:t xml:space="preserve"> facility capacity constraints for specialty services</w:t>
      </w:r>
    </w:p>
    <w:p w14:paraId="4F5A475D" w14:textId="77777777" w:rsidR="00DB739F" w:rsidRDefault="00D24CB0">
      <w:pPr>
        <w:pStyle w:val="Heading1"/>
      </w:pPr>
      <w:bookmarkStart w:id="9" w:name="sources"/>
      <w:bookmarkEnd w:id="8"/>
      <w:r>
        <w:t>Sources</w:t>
      </w:r>
    </w:p>
    <w:p w14:paraId="5570A1BC" w14:textId="77777777" w:rsidR="00DB739F" w:rsidRDefault="00D24CB0">
      <w:r>
        <w:t>Association of American Medical Colleges. “The Complexities of Physician Supply and Demand: Projections from 2021 to 2036.” AAMC, 2024.</w:t>
      </w:r>
    </w:p>
    <w:p w14:paraId="5CF9992A" w14:textId="77777777" w:rsidR="00DB739F" w:rsidRDefault="00D24CB0">
      <w:r>
        <w:t>California Health Care Foundation. “New Survey Highlights Worsening Shortage of Physicians in Rural Northern California.” CHCF, October 2025.</w:t>
      </w:r>
    </w:p>
    <w:p w14:paraId="6E75C15D" w14:textId="77777777" w:rsidR="00DB739F" w:rsidRDefault="00D24CB0">
      <w:r>
        <w:t>Fontenot, Jazmin, et al. “</w:t>
      </w:r>
      <w:r>
        <w:t>Navigating Geographical Disparities: Access to Obstetric Hospitals in Maternity Care Deserts and Across the United States.” BMC Pregnancy and Childbirth, vol. 24, no. 350, May 2024.</w:t>
      </w:r>
    </w:p>
    <w:p w14:paraId="3687F636" w14:textId="77777777" w:rsidR="00DB739F" w:rsidRDefault="00D24CB0">
      <w:r>
        <w:t>Gruca, Thomas S., et al. “Providing Cardiology Care in Rural Areas Through Visiting Consultant Clinics.” Journal of the American Heart Association, vol. 5, no. 7, July 2016.</w:t>
      </w:r>
    </w:p>
    <w:p w14:paraId="18FD3EFA" w14:textId="77777777" w:rsidR="00DB739F" w:rsidRDefault="00D24CB0">
      <w:r>
        <w:t>Health Resources and Services Administration. “Physician Workforce: Projections, 2023-2038.” HRSA Bureau of Health Workforce, 2024.</w:t>
      </w:r>
    </w:p>
    <w:p w14:paraId="4665A9A1" w14:textId="77777777" w:rsidR="00DB739F" w:rsidRDefault="00D24CB0">
      <w:r>
        <w:t>March of Dimes. “Nowhere to Go: Maternity Care Deserts Across the US.” 2024 Report, September 2024.</w:t>
      </w:r>
    </w:p>
    <w:p w14:paraId="452950CB" w14:textId="77777777" w:rsidR="00DB739F" w:rsidRDefault="00D24CB0">
      <w:r>
        <w:t>Medicus Healthcare Solutions. “Closing the Distance: Rural Physician Shortages and the Role of Locum Tenens.” November 2025.</w:t>
      </w:r>
    </w:p>
    <w:p w14:paraId="5D0D4446" w14:textId="77777777" w:rsidR="00DB739F" w:rsidRDefault="00D24CB0">
      <w:r>
        <w:lastRenderedPageBreak/>
        <w:t>ASCO. “Closing the Rural Cancer Care Gap: Three Institutional Approaches.” JCO Oncology Practice, vol. 16, no. 7, July 2020.</w:t>
      </w:r>
    </w:p>
    <w:p w14:paraId="61012B09" w14:textId="77777777" w:rsidR="00DB739F" w:rsidRDefault="00D24CB0">
      <w:r>
        <w:t>Rural Health Information Hub. “Telehealth Models for Increasing Access to Specialty Care.” RHIhub Toolkit, 2024.</w:t>
      </w:r>
    </w:p>
    <w:p w14:paraId="04DCF0E8" w14:textId="77777777" w:rsidR="00DB739F" w:rsidRDefault="00D24CB0">
      <w:r>
        <w:t>Tande, Aaron J., et al. “Association of a Remotely Offered Infectious Diseases eConsult Service with Improved Clinical Outcomes.” Open Forum Infectious Diseases, January 2020.</w:t>
      </w:r>
    </w:p>
    <w:bookmarkEnd w:id="9"/>
    <w:sectPr w:rsidR="00DB739F">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F6CC77" w14:textId="77777777" w:rsidR="00D24CB0" w:rsidRDefault="00D24CB0">
      <w:pPr>
        <w:spacing w:before="0" w:line="240" w:lineRule="auto"/>
      </w:pPr>
      <w:r>
        <w:separator/>
      </w:r>
    </w:p>
  </w:endnote>
  <w:endnote w:type="continuationSeparator" w:id="0">
    <w:p w14:paraId="5B1376F1" w14:textId="77777777" w:rsidR="00D24CB0" w:rsidRDefault="00D24CB0">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venir Next LT Pro">
    <w:altName w:val="Calibri"/>
    <w:charset w:val="00"/>
    <w:family w:val="swiss"/>
    <w:pitch w:val="variable"/>
    <w:sig w:usb0="800000EF" w:usb1="5000204A"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3B427F" w14:textId="77777777" w:rsidR="00D24CB0" w:rsidRDefault="00D24CB0" w:rsidP="000F4A8A">
    <w:pPr>
      <w:pStyle w:val="Footer"/>
    </w:pPr>
    <w:r>
      <w:rPr>
        <w:noProof/>
        <w14:ligatures w14:val="standardContextual"/>
      </w:rPr>
      <mc:AlternateContent>
        <mc:Choice Requires="wps">
          <w:drawing>
            <wp:anchor distT="0" distB="0" distL="114300" distR="114300" simplePos="0" relativeHeight="251657216" behindDoc="0" locked="0" layoutInCell="1" allowOverlap="1" wp14:anchorId="2416F9D9" wp14:editId="54DAE18F">
              <wp:simplePos x="0" y="0"/>
              <wp:positionH relativeFrom="margin">
                <wp:align>right</wp:align>
              </wp:positionH>
              <wp:positionV relativeFrom="paragraph">
                <wp:posOffset>-56318</wp:posOffset>
              </wp:positionV>
              <wp:extent cx="5928303" cy="3399"/>
              <wp:effectExtent l="0" t="0" r="34925" b="34925"/>
              <wp:wrapNone/>
              <wp:docPr id="1330319518" name="Straight Connector 4"/>
              <wp:cNvGraphicFramePr/>
              <a:graphic xmlns:a="http://schemas.openxmlformats.org/drawingml/2006/main">
                <a:graphicData uri="http://schemas.microsoft.com/office/word/2010/wordprocessingShape">
                  <wps:wsp>
                    <wps:cNvCnPr/>
                    <wps:spPr>
                      <a:xfrm flipV="1">
                        <a:off x="0" y="0"/>
                        <a:ext cx="5928303" cy="3399"/>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A57F177" id="Straight Connector 4" o:spid="_x0000_s1026" style="position:absolute;flip:y;z-index:25165721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15.6pt,-4.45pt" to="882.4pt,-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" strokecolor="#156082 [3204]" strokeweight=".5pt">
              <v:stroke joinstyle="miter"/>
              <w10:wrap anchorx="margin"/>
            </v:line>
          </w:pict>
        </mc:Fallback>
      </mc:AlternateContent>
    </w:r>
    <w:r>
      <w:rPr>
        <w:noProof/>
      </w:rPr>
      <mc:AlternateContent>
        <mc:Choice Requires="wps">
          <w:drawing>
            <wp:anchor distT="45720" distB="45720" distL="114300" distR="114300" simplePos="0" relativeHeight="251658240" behindDoc="0" locked="0" layoutInCell="1" allowOverlap="1" wp14:anchorId="39B40326" wp14:editId="768430D3">
              <wp:simplePos x="0" y="0"/>
              <wp:positionH relativeFrom="margin">
                <wp:align>left</wp:align>
              </wp:positionH>
              <wp:positionV relativeFrom="paragraph">
                <wp:posOffset>-25726</wp:posOffset>
              </wp:positionV>
              <wp:extent cx="4538007" cy="237691"/>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38007" cy="237691"/>
                      </a:xfrm>
                      <a:prstGeom prst="rect">
                        <a:avLst/>
                      </a:prstGeom>
                      <a:solidFill>
                        <a:srgbClr val="FFFFFF"/>
                      </a:solidFill>
                      <a:ln w="9525">
                        <a:noFill/>
                        <a:miter lim="800000"/>
                        <a:headEnd/>
                        <a:tailEnd/>
                      </a:ln>
                    </wps:spPr>
                    <wps:txbx>
                      <w:txbxContent>
                        <w:p w14:paraId="601DDFD8" w14:textId="77777777" w:rsidR="00D24CB0" w:rsidRPr="00B31822" w:rsidRDefault="00D24CB0" w:rsidP="000F4A8A">
                          <w:pPr>
                            <w:pStyle w:val="Footer"/>
                            <w:ind w:left="-144"/>
                            <w:rPr>
                              <w:color w:val="156082" w:themeColor="accent1"/>
                              <w:lang w:val="fr-FR"/>
                            </w:rPr>
                          </w:pPr>
                          <w:r w:rsidRPr="00B31822">
                            <w:rPr>
                              <w:color w:val="156082" w:themeColor="accent1"/>
                              <w:lang w:val="fr-FR"/>
                            </w:rPr>
                            <w:t xml:space="preserve">2002 N. Lois Avenue, Suite 200, Tampa, FL 33607 | GroundGame.Health               </w:t>
                          </w:r>
                        </w:p>
                        <w:p w14:paraId="752143D9" w14:textId="77777777" w:rsidR="00D24CB0" w:rsidRPr="00B31822" w:rsidRDefault="00D24CB0" w:rsidP="000F4A8A">
                          <w:pPr>
                            <w:spacing w:before="0" w:line="240" w:lineRule="auto"/>
                            <w:ind w:left="-144"/>
                            <w:rPr>
                              <w:color w:val="156082" w:themeColor="accent1"/>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9B40326" id="_x0000_t202" coordsize="21600,21600" o:spt="202" path="m,l,21600r21600,l21600,xe">
              <v:stroke joinstyle="miter"/>
              <v:path gradientshapeok="t" o:connecttype="rect"/>
            </v:shapetype>
            <v:shape id="_x0000_s1032" type="#_x0000_t202" style="position:absolute;margin-left:0;margin-top:-2.05pt;width:357.3pt;height:18.7pt;z-index:25165824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" stroked="f">
              <v:textbox>
                <w:txbxContent>
                  <w:p w14:paraId="601DDFD8" w14:textId="77777777" w:rsidR="00D24CB0" w:rsidRPr="00B31822" w:rsidRDefault="00D24CB0" w:rsidP="000F4A8A">
                    <w:pPr>
                      <w:pStyle w:val="Footer"/>
                      <w:ind w:left="-144"/>
                      <w:rPr>
                        <w:color w:val="156082" w:themeColor="accent1"/>
                        <w:lang w:val="fr-FR"/>
                      </w:rPr>
                    </w:pPr>
                    <w:r w:rsidRPr="00B31822">
                      <w:rPr>
                        <w:color w:val="156082" w:themeColor="accent1"/>
                        <w:lang w:val="fr-FR"/>
                      </w:rPr>
                      <w:t xml:space="preserve">2002 N. Lois Avenue, Suite 200, Tampa, FL 33607 | GroundGame.Health               </w:t>
                    </w:r>
                  </w:p>
                  <w:p w14:paraId="752143D9" w14:textId="77777777" w:rsidR="00D24CB0" w:rsidRPr="00B31822" w:rsidRDefault="00D24CB0" w:rsidP="000F4A8A">
                    <w:pPr>
                      <w:spacing w:before="0" w:line="240" w:lineRule="auto"/>
                      <w:ind w:left="-144"/>
                      <w:rPr>
                        <w:color w:val="156082" w:themeColor="accent1"/>
                      </w:rPr>
                    </w:pPr>
                  </w:p>
                </w:txbxContent>
              </v:textbox>
              <w10:wrap anchorx="margin"/>
            </v:shape>
          </w:pict>
        </mc:Fallback>
      </mc:AlternateContent>
    </w:r>
    <w:r>
      <w:tab/>
    </w:r>
    <w:r>
      <w:tab/>
    </w:r>
  </w:p>
  <w:p w14:paraId="5072EDF5" w14:textId="77777777" w:rsidR="00D24CB0" w:rsidRPr="00E71036" w:rsidRDefault="00D24CB0" w:rsidP="000F4A8A">
    <w:pPr>
      <w:pStyle w:val="Footer"/>
      <w:jc w:val="right"/>
      <w:rPr>
        <w:i/>
        <w:iCs/>
        <w:sz w:val="16"/>
        <w:szCs w:val="16"/>
      </w:rPr>
    </w:pPr>
    <w:r>
      <w:rPr>
        <w:noProof/>
      </w:rPr>
      <mc:AlternateContent>
        <mc:Choice Requires="wps">
          <w:drawing>
            <wp:anchor distT="45720" distB="45720" distL="114300" distR="114300" simplePos="0" relativeHeight="251659264" behindDoc="0" locked="0" layoutInCell="1" allowOverlap="1" wp14:anchorId="44EDD346" wp14:editId="4669BCC8">
              <wp:simplePos x="0" y="0"/>
              <wp:positionH relativeFrom="margin">
                <wp:align>right</wp:align>
              </wp:positionH>
              <wp:positionV relativeFrom="paragraph">
                <wp:posOffset>96745</wp:posOffset>
              </wp:positionV>
              <wp:extent cx="4129405" cy="253584"/>
              <wp:effectExtent l="0" t="0" r="0" b="0"/>
              <wp:wrapNone/>
              <wp:docPr id="186888103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29405" cy="253584"/>
                      </a:xfrm>
                      <a:prstGeom prst="rect">
                        <a:avLst/>
                      </a:prstGeom>
                      <a:noFill/>
                      <a:ln w="9525">
                        <a:noFill/>
                        <a:miter lim="800000"/>
                        <a:headEnd/>
                        <a:tailEnd/>
                      </a:ln>
                    </wps:spPr>
                    <wps:txbx>
                      <w:txbxContent>
                        <w:p w14:paraId="3C019870" w14:textId="77777777" w:rsidR="00D24CB0" w:rsidRPr="00046EE7" w:rsidRDefault="00D24CB0" w:rsidP="000F4A8A">
                          <w:pPr>
                            <w:spacing w:before="0" w:line="240" w:lineRule="auto"/>
                            <w:jc w:val="right"/>
                            <w:rPr>
                              <w:i/>
                              <w:iCs/>
                              <w:szCs w:val="20"/>
                            </w:rPr>
                          </w:pPr>
                          <w:r w:rsidRPr="00B07560">
                            <w:t>Syam Adusumilli,</w:t>
                          </w:r>
                          <w:r>
                            <w:t xml:space="preserve"> </w:t>
                          </w:r>
                          <w:r w:rsidRPr="00B07560">
                            <w:t>Chief</w:t>
                          </w:r>
                          <w:r>
                            <w:t xml:space="preserve"> E</w:t>
                          </w:r>
                          <w:r w:rsidRPr="00B07560">
                            <w:t>vangelist</w:t>
                          </w:r>
                          <w:r>
                            <w:t xml:space="preserve">, </w:t>
                          </w:r>
                          <w:r>
                            <w:rPr>
                              <w:i/>
                              <w:iCs/>
                              <w:szCs w:val="20"/>
                            </w:rPr>
                            <w:t>s</w:t>
                          </w:r>
                          <w:r w:rsidRPr="00046EE7">
                            <w:rPr>
                              <w:i/>
                              <w:iCs/>
                              <w:szCs w:val="20"/>
                            </w:rPr>
                            <w:t>yam.a@groundgame.health</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4EDD346" id="_x0000_s1033" type="#_x0000_t202" style="position:absolute;left:0;text-align:left;margin-left:273.95pt;margin-top:7.6pt;width:325.15pt;height:19.95pt;z-index:25165926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" filled="f" stroked="f">
              <v:textbox>
                <w:txbxContent>
                  <w:p w14:paraId="3C019870" w14:textId="77777777" w:rsidR="00D24CB0" w:rsidRPr="00046EE7" w:rsidRDefault="00D24CB0" w:rsidP="000F4A8A">
                    <w:pPr>
                      <w:spacing w:before="0" w:line="240" w:lineRule="auto"/>
                      <w:jc w:val="right"/>
                      <w:rPr>
                        <w:i/>
                        <w:iCs/>
                        <w:szCs w:val="20"/>
                      </w:rPr>
                    </w:pPr>
                    <w:r w:rsidRPr="00B07560">
                      <w:t>Syam Adusumilli,</w:t>
                    </w:r>
                    <w:r>
                      <w:t xml:space="preserve"> </w:t>
                    </w:r>
                    <w:r w:rsidRPr="00B07560">
                      <w:t>Chief</w:t>
                    </w:r>
                    <w:r>
                      <w:t xml:space="preserve"> E</w:t>
                    </w:r>
                    <w:r w:rsidRPr="00B07560">
                      <w:t>vangelist</w:t>
                    </w:r>
                    <w:r>
                      <w:t xml:space="preserve">, </w:t>
                    </w:r>
                    <w:r>
                      <w:rPr>
                        <w:i/>
                        <w:iCs/>
                        <w:szCs w:val="20"/>
                      </w:rPr>
                      <w:t>s</w:t>
                    </w:r>
                    <w:r w:rsidRPr="00046EE7">
                      <w:rPr>
                        <w:i/>
                        <w:iCs/>
                        <w:szCs w:val="20"/>
                      </w:rPr>
                      <w:t>yam.a@groundgame.health</w:t>
                    </w:r>
                  </w:p>
                </w:txbxContent>
              </v:textbox>
              <w10:wrap anchorx="margin"/>
            </v:shape>
          </w:pict>
        </mc:Fallback>
      </mc:AlternateContent>
    </w:r>
  </w:p>
  <w:p w14:paraId="641FB874" w14:textId="77777777" w:rsidR="00D24CB0" w:rsidRPr="006D16AB" w:rsidRDefault="00D24CB0" w:rsidP="006D16A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4431ED" w14:textId="77777777" w:rsidR="00DB739F" w:rsidRDefault="00D24CB0">
      <w:r>
        <w:separator/>
      </w:r>
    </w:p>
  </w:footnote>
  <w:footnote w:type="continuationSeparator" w:id="0">
    <w:p w14:paraId="06DEE038" w14:textId="77777777" w:rsidR="00DB739F" w:rsidRDefault="00D24C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BBB197" w14:textId="77777777" w:rsidR="00D24CB0" w:rsidRDefault="00D24CB0">
    <w:pPr>
      <w:pStyle w:val="Header"/>
    </w:pPr>
    <w:r>
      <w:rPr>
        <w:noProof/>
      </w:rPr>
      <mc:AlternateContent>
        <mc:Choice Requires="wps">
          <w:drawing>
            <wp:anchor distT="45720" distB="45720" distL="114300" distR="114300" simplePos="0" relativeHeight="251656192" behindDoc="0" locked="0" layoutInCell="1" allowOverlap="1" wp14:anchorId="6EA4F216" wp14:editId="1CDF87CE">
              <wp:simplePos x="0" y="0"/>
              <wp:positionH relativeFrom="margin">
                <wp:posOffset>-57329</wp:posOffset>
              </wp:positionH>
              <wp:positionV relativeFrom="paragraph">
                <wp:posOffset>-227883</wp:posOffset>
              </wp:positionV>
              <wp:extent cx="4675192" cy="690044"/>
              <wp:effectExtent l="0" t="0" r="0" b="0"/>
              <wp:wrapNone/>
              <wp:docPr id="83069035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75192" cy="690044"/>
                      </a:xfrm>
                      <a:prstGeom prst="rect">
                        <a:avLst/>
                      </a:prstGeom>
                      <a:solidFill>
                        <a:srgbClr val="FFFFFF"/>
                      </a:solidFill>
                      <a:ln w="9525">
                        <a:noFill/>
                        <a:miter lim="800000"/>
                        <a:headEnd/>
                        <a:tailEnd/>
                      </a:ln>
                    </wps:spPr>
                    <wps:txbx>
                      <w:txbxContent>
                        <w:p w14:paraId="27A5645C" w14:textId="77777777" w:rsidR="00DB739F" w:rsidRDefault="00D24CB0">
                          <w:pPr>
                            <w:pStyle w:val="Title"/>
                            <w:rPr>
                              <w:rFonts w:ascii="Aptos Display" w:hAnsi="Aptos Display"/>
                              <w:sz w:val="22"/>
                              <w:szCs w:val="22"/>
                            </w:rPr>
                          </w:pPr>
                          <w:r>
                            <w:rPr>
                              <w:rFonts w:ascii="Aptos Display" w:hAnsi="Aptos Display"/>
                              <w:sz w:val="22"/>
                              <w:szCs w:val="22"/>
                            </w:rPr>
                            <w:t>RHTP 11.B:</w:t>
                          </w:r>
                        </w:p>
                        <w:p w14:paraId="0F07ED00" w14:textId="77777777" w:rsidR="00DB739F" w:rsidRDefault="00D24CB0">
                          <w:pPr>
                            <w:pStyle w:val="Title"/>
                            <w:rPr>
                              <w:rFonts w:ascii="Aptos Display" w:hAnsi="Aptos Display"/>
                              <w:sz w:val="28"/>
                              <w:szCs w:val="28"/>
                            </w:rPr>
                          </w:pPr>
                          <w:r>
                            <w:rPr>
                              <w:rFonts w:ascii="Aptos Display" w:hAnsi="Aptos Display"/>
                              <w:sz w:val="28"/>
                              <w:szCs w:val="28"/>
                            </w:rPr>
                            <w:t>The Specialty Gap</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EA4F216" id="_x0000_t202" coordsize="21600,21600" o:spt="202" path="m,l,21600r21600,l21600,xe">
              <v:stroke joinstyle="miter"/>
              <v:path gradientshapeok="t" o:connecttype="rect"/>
            </v:shapetype>
            <v:shape id="Text Box 2" o:spid="_x0000_s1026" type="#_x0000_t202" style="position:absolute;margin-left:-4.5pt;margin-top:-17.95pt;width:368.15pt;height:54.35pt;z-index:2516561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" stroked="f">
              <v:textbox>
                <w:txbxContent>
                  <w:p w14:paraId="27A5645C" w14:textId="77777777" w:rsidR="00DB739F" w:rsidRDefault="00D24CB0">
                    <w:pPr>
                      <w:pStyle w:val="Title"/>
                      <w:rPr>
                        <w:rFonts w:ascii="Aptos Display" w:hAnsi="Aptos Display"/>
                        <w:sz w:val="22"/>
                        <w:szCs w:val="22"/>
                      </w:rPr>
                    </w:pPr>
                    <w:r>
                      <w:rPr>
                        <w:rFonts w:ascii="Aptos Display" w:hAnsi="Aptos Display"/>
                        <w:sz w:val="22"/>
                        <w:szCs w:val="22"/>
                      </w:rPr>
                      <w:t>RHTP 11.B:</w:t>
                    </w:r>
                  </w:p>
                  <w:p w14:paraId="0F07ED00" w14:textId="77777777" w:rsidR="00DB739F" w:rsidRDefault="00D24CB0">
                    <w:pPr>
                      <w:pStyle w:val="Title"/>
                      <w:rPr>
                        <w:rFonts w:ascii="Aptos Display" w:hAnsi="Aptos Display"/>
                        <w:sz w:val="28"/>
                        <w:szCs w:val="28"/>
                      </w:rPr>
                    </w:pPr>
                    <w:r>
                      <w:rPr>
                        <w:rFonts w:ascii="Aptos Display" w:hAnsi="Aptos Display"/>
                        <w:sz w:val="28"/>
                        <w:szCs w:val="28"/>
                      </w:rPr>
                      <w:t>The Specialty Gap</w:t>
                    </w:r>
                  </w:p>
                </w:txbxContent>
              </v:textbox>
              <w10:wrap anchorx="margin"/>
            </v:shape>
          </w:pict>
        </mc:Fallback>
      </mc:AlternateContent>
    </w:r>
    <w:r>
      <w:rPr>
        <w:noProof/>
      </w:rPr>
      <w:drawing>
        <wp:anchor distT="0" distB="0" distL="114300" distR="114300" simplePos="0" relativeHeight="251660288" behindDoc="0" locked="0" layoutInCell="1" allowOverlap="1" wp14:anchorId="3F1AD434" wp14:editId="617C216A">
          <wp:simplePos x="0" y="0"/>
          <wp:positionH relativeFrom="margin">
            <wp:posOffset>4598984</wp:posOffset>
          </wp:positionH>
          <wp:positionV relativeFrom="paragraph">
            <wp:posOffset>55896</wp:posOffset>
          </wp:positionV>
          <wp:extent cx="1488387" cy="377940"/>
          <wp:effectExtent l="0" t="0" r="0" b="3175"/>
          <wp:wrapNone/>
          <wp:docPr id="599323403" name="Picture 2"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323403" name="Picture 2" descr="A close-up of a logo&#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499462" cy="380752"/>
                  </a:xfrm>
                  <a:prstGeom prst="rect">
                    <a:avLst/>
                  </a:prstGeom>
                </pic:spPr>
              </pic:pic>
            </a:graphicData>
          </a:graphic>
          <wp14:sizeRelH relativeFrom="margin">
            <wp14:pctWidth>0</wp14:pctWidth>
          </wp14:sizeRelH>
          <wp14:sizeRelV relativeFrom="margin">
            <wp14:pctHeight>0</wp14:pctHeight>
          </wp14:sizeRelV>
        </wp:anchor>
      </w:drawing>
    </w:r>
    <w:sdt>
      <w:sdtPr>
        <w:id w:val="-1536042918"/>
        <w:docPartObj>
          <w:docPartGallery w:val="Page Numbers (Top of Page)"/>
          <w:docPartUnique/>
        </w:docPartObj>
      </w:sdtPr>
      <w:sdtEndPr/>
      <w:sdtContent>
        <w:r>
          <w:rPr>
            <w:noProof/>
          </w:rPr>
          <mc:AlternateContent>
            <mc:Choice Requires="wpg">
              <w:drawing>
                <wp:anchor distT="0" distB="0" distL="114300" distR="114300" simplePos="0" relativeHeight="251655168" behindDoc="0" locked="0" layoutInCell="0" allowOverlap="1" wp14:anchorId="5E55B916" wp14:editId="5571752B">
                  <wp:simplePos x="0" y="0"/>
                  <wp:positionH relativeFrom="rightMargin">
                    <wp:align>left</wp:align>
                  </wp:positionH>
                  <wp:positionV relativeFrom="margin">
                    <wp:align>top</wp:align>
                  </wp:positionV>
                  <wp:extent cx="902335" cy="1902460"/>
                  <wp:effectExtent l="0" t="9525" r="12065" b="2540"/>
                  <wp:wrapNone/>
                  <wp:docPr id="164101715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flipH="1" flipV="1">
                            <a:off x="0" y="0"/>
                            <a:ext cx="902335" cy="1902460"/>
                            <a:chOff x="13" y="11415"/>
                            <a:chExt cx="1425" cy="2996"/>
                          </a:xfrm>
                        </wpg:grpSpPr>
                        <wpg:grpSp>
                          <wpg:cNvPr id="1600616591" name="Group 7"/>
                          <wpg:cNvGrpSpPr>
                            <a:grpSpLocks/>
                          </wpg:cNvGrpSpPr>
                          <wpg:grpSpPr bwMode="auto">
                            <a:xfrm flipV="1">
                              <a:off x="13" y="14340"/>
                              <a:ext cx="1410" cy="71"/>
                              <a:chOff x="-83" y="540"/>
                              <a:chExt cx="1218" cy="71"/>
                            </a:xfrm>
                          </wpg:grpSpPr>
                          <wps:wsp>
                            <wps:cNvPr id="1820961130" name="Rectangle 8"/>
                            <wps:cNvSpPr>
                              <a:spLocks noChangeArrowheads="1"/>
                            </wps:cNvSpPr>
                            <wps:spPr bwMode="auto">
                              <a:xfrm>
                                <a:off x="678" y="540"/>
                                <a:ext cx="457" cy="71"/>
                              </a:xfrm>
                              <a:prstGeom prst="rect">
                                <a:avLst/>
                              </a:prstGeom>
                              <a:solidFill>
                                <a:srgbClr val="5F497A"/>
                              </a:solidFill>
                              <a:ln w="9525">
                                <a:solidFill>
                                  <a:srgbClr val="5F497A"/>
                                </a:solidFill>
                                <a:miter lim="800000"/>
                                <a:headEnd/>
                                <a:tailEnd/>
                              </a:ln>
                            </wps:spPr>
                            <wps:bodyPr rot="0" vert="horz" wrap="square" lIns="91440" tIns="45720" rIns="91440" bIns="45720" anchor="t" anchorCtr="0" upright="1">
                              <a:noAutofit/>
                            </wps:bodyPr>
                          </wps:wsp>
                          <wps:wsp>
                            <wps:cNvPr id="440951311" name="AutoShape 9"/>
                            <wps:cNvCnPr>
                              <a:cxnSpLocks noChangeShapeType="1"/>
                            </wps:cNvCnPr>
                            <wps:spPr bwMode="auto">
                              <a:xfrm flipH="1">
                                <a:off x="-83" y="540"/>
                                <a:ext cx="761" cy="0"/>
                              </a:xfrm>
                              <a:prstGeom prst="straightConnector1">
                                <a:avLst/>
                              </a:prstGeom>
                              <a:noFill/>
                              <a:ln w="9525">
                                <a:solidFill>
                                  <a:srgbClr val="5F497A"/>
                                </a:solidFill>
                                <a:round/>
                                <a:headEnd/>
                                <a:tailEnd/>
                              </a:ln>
                              <a:extLst>
                                <a:ext uri="{909E8E84-426E-40DD-AFC4-6F175D3DCCD1}">
                                  <a14:hiddenFill xmlns:a14="http://schemas.microsoft.com/office/drawing/2010/main">
                                    <a:noFill/>
                                  </a14:hiddenFill>
                                </a:ext>
                              </a:extLst>
                            </wps:spPr>
                            <wps:bodyPr/>
                          </wps:wsp>
                        </wpg:grpSp>
                        <wps:wsp>
                          <wps:cNvPr id="972406835" name="Rectangle 10"/>
                          <wps:cNvSpPr>
                            <a:spLocks noChangeArrowheads="1"/>
                          </wps:cNvSpPr>
                          <wps:spPr bwMode="auto">
                            <a:xfrm>
                              <a:off x="405" y="11415"/>
                              <a:ext cx="1033" cy="280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AF07C75" w14:textId="77777777" w:rsidR="00D24CB0" w:rsidRDefault="00D24CB0">
                                <w:pPr>
                                  <w:pStyle w:val="NoSpacing"/>
                                  <w:jc w:val="right"/>
                                </w:pPr>
                                <w:r>
                                  <w:fldChar w:fldCharType="begin"/>
                                </w:r>
                                <w:r>
                                  <w:instrText xml:space="preserve"> PAGE    \* MERGEFORMAT </w:instrText>
                                </w:r>
                                <w:r>
                                  <w:fldChar w:fldCharType="separate"/>
                                </w:r>
                                <w:r>
                                  <w:rPr>
                                    <w:b/>
                                    <w:bCs/>
                                    <w:noProof/>
                                    <w:color w:val="0B769F" w:themeColor="accent4" w:themeShade="BF"/>
                                    <w:sz w:val="52"/>
                                    <w:szCs w:val="52"/>
                                  </w:rPr>
                                  <w:t>2</w:t>
                                </w:r>
                                <w:r>
                                  <w:rPr>
                                    <w:b/>
                                    <w:bCs/>
                                    <w:noProof/>
                                    <w:color w:val="0B769F" w:themeColor="accent4" w:themeShade="BF"/>
                                    <w:sz w:val="52"/>
                                    <w:szCs w:val="52"/>
                                  </w:rPr>
                                  <w:fldChar w:fldCharType="end"/>
                                </w:r>
                              </w:p>
                            </w:txbxContent>
                          </wps:txbx>
                          <wps:bodyPr rot="0" vert="vert270" wrap="square" lIns="0" tIns="0" rIns="0" bIns="0" anchor="t" anchorCtr="0" upright="1">
                            <a:noAutofit/>
                          </wps:bodyPr>
                        </wps:wsp>
                      </wpg:wgp>
                    </a:graphicData>
                  </a:graphic>
                  <wp14:sizeRelH relativeFrom="leftMargin">
                    <wp14:pctWidth>100000</wp14:pctWidth>
                  </wp14:sizeRelH>
                  <wp14:sizeRelV relativeFrom="page">
                    <wp14:pctHeight>0</wp14:pctHeight>
                  </wp14:sizeRelV>
                </wp:anchor>
              </w:drawing>
            </mc:Choice>
            <mc:Fallback>
              <w:pict>
                <v:group w14:anchorId="5E55B916" id="Group 1" o:spid="_x0000_s1027" style="position:absolute;margin-left:0;margin-top:0;width:71.05pt;height:149.8pt;flip:x y;z-index:251655168;mso-width-percent:1000;mso-position-horizontal:left;mso-position-horizontal-relative:right-margin-area;mso-position-vertical:top;mso-position-vertical-relative:margin;mso-width-percent:1000;mso-width-relative:left-margin-area" coordorigin="13,11415" coordsize="1425,29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" o:allowincell="f">
                  <v:group id="Group 7" o:spid="_x0000_s1028" style="position:absolute;left:13;top:14340;width:1410;height:71;flip:y" coordorigin="-83,540" coordsize="1218,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">
                    <v:rect id="Rectangle 8" o:spid="_x0000_s1029" style="position:absolute;left:678;top:540;width:457;height: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" fillcolor="#5f497a" strokecolor="#5f497a"/>
                    <v:shapetype id="_x0000_t32" coordsize="21600,21600" o:spt="32" o:oned="t" path="m,l21600,21600e" filled="f">
                      <v:path arrowok="t" fillok="f" o:connecttype="none"/>
                      <o:lock v:ext="edit" shapetype="t"/>
                    </v:shapetype>
                    <v:shape id="AutoShape 9" o:spid="_x0000_s1030" type="#_x0000_t32" style="position:absolute;left:-83;top:540;width:761;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" strokecolor="#5f497a"/>
                  </v:group>
                  <v:rect id="Rectangle 10" o:spid="_x0000_s1031" style="position:absolute;left:405;top:11415;width:1033;height:28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" stroked="f">
                    <v:textbox style="layout-flow:vertical;mso-layout-flow-alt:bottom-to-top" inset="0,0,0,0">
                      <w:txbxContent>
                        <w:p w14:paraId="4AF07C75" w14:textId="77777777" w:rsidR="00D24CB0" w:rsidRDefault="00D24CB0">
                          <w:pPr>
                            <w:pStyle w:val="NoSpacing"/>
                            <w:jc w:val="right"/>
                          </w:pPr>
                          <w:r>
                            <w:fldChar w:fldCharType="begin"/>
                          </w:r>
                          <w:r>
                            <w:instrText xml:space="preserve"> PAGE    \* MERGEFORMAT </w:instrText>
                          </w:r>
                          <w:r>
                            <w:fldChar w:fldCharType="separate"/>
                          </w:r>
                          <w:r>
                            <w:rPr>
                              <w:b/>
                              <w:bCs/>
                              <w:noProof/>
                              <w:color w:val="0B769F" w:themeColor="accent4" w:themeShade="BF"/>
                              <w:sz w:val="52"/>
                              <w:szCs w:val="52"/>
                            </w:rPr>
                            <w:t>2</w:t>
                          </w:r>
                          <w:r>
                            <w:rPr>
                              <w:b/>
                              <w:bCs/>
                              <w:noProof/>
                              <w:color w:val="0B769F" w:themeColor="accent4" w:themeShade="BF"/>
                              <w:sz w:val="52"/>
                              <w:szCs w:val="52"/>
                            </w:rPr>
                            <w:fldChar w:fldCharType="end"/>
                          </w:r>
                        </w:p>
                      </w:txbxContent>
                    </v:textbox>
                  </v:rect>
                  <w10:wrap anchorx="margin" anchory="margin"/>
                </v:group>
              </w:pict>
            </mc:Fallback>
          </mc:AlternateContent>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4081C7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F23A264E"/>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5EC6D8C"/>
    <w:multiLevelType w:val="multilevel"/>
    <w:tmpl w:val="C10A17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A85140"/>
    <w:multiLevelType w:val="multilevel"/>
    <w:tmpl w:val="86A865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65A2656"/>
    <w:multiLevelType w:val="multilevel"/>
    <w:tmpl w:val="EF704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68711D"/>
    <w:multiLevelType w:val="multilevel"/>
    <w:tmpl w:val="47F29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91737E"/>
    <w:multiLevelType w:val="multilevel"/>
    <w:tmpl w:val="D786B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846BEA"/>
    <w:multiLevelType w:val="multilevel"/>
    <w:tmpl w:val="62A23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20067E"/>
    <w:multiLevelType w:val="multilevel"/>
    <w:tmpl w:val="A56CC1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C7E1BC6"/>
    <w:multiLevelType w:val="multilevel"/>
    <w:tmpl w:val="6DD4D9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CC77A9D"/>
    <w:multiLevelType w:val="multilevel"/>
    <w:tmpl w:val="615A5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A34E7A"/>
    <w:multiLevelType w:val="multilevel"/>
    <w:tmpl w:val="EAA2F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456CD0"/>
    <w:multiLevelType w:val="multilevel"/>
    <w:tmpl w:val="5D0CF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D940E6"/>
    <w:multiLevelType w:val="multilevel"/>
    <w:tmpl w:val="EB1AD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013777"/>
    <w:multiLevelType w:val="multilevel"/>
    <w:tmpl w:val="138C3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C44F27"/>
    <w:multiLevelType w:val="multilevel"/>
    <w:tmpl w:val="B7747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C26AF4"/>
    <w:multiLevelType w:val="multilevel"/>
    <w:tmpl w:val="D2326D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3E31E72"/>
    <w:multiLevelType w:val="multilevel"/>
    <w:tmpl w:val="50A09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31110D"/>
    <w:multiLevelType w:val="multilevel"/>
    <w:tmpl w:val="9CF62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C36A6D"/>
    <w:multiLevelType w:val="multilevel"/>
    <w:tmpl w:val="5D9EFA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40218B5"/>
    <w:multiLevelType w:val="multilevel"/>
    <w:tmpl w:val="1A189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7E23A65"/>
    <w:multiLevelType w:val="multilevel"/>
    <w:tmpl w:val="D9705F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9C56A55"/>
    <w:multiLevelType w:val="multilevel"/>
    <w:tmpl w:val="085641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24D4CE1"/>
    <w:multiLevelType w:val="multilevel"/>
    <w:tmpl w:val="168C8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778006B"/>
    <w:multiLevelType w:val="multilevel"/>
    <w:tmpl w:val="87E86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E5840FA"/>
    <w:multiLevelType w:val="multilevel"/>
    <w:tmpl w:val="DF72D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F826B1A"/>
    <w:multiLevelType w:val="multilevel"/>
    <w:tmpl w:val="3E2A4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1232203">
    <w:abstractNumId w:val="25"/>
  </w:num>
  <w:num w:numId="2" w16cid:durableId="1550805610">
    <w:abstractNumId w:val="18"/>
  </w:num>
  <w:num w:numId="3" w16cid:durableId="30619172">
    <w:abstractNumId w:val="11"/>
  </w:num>
  <w:num w:numId="4" w16cid:durableId="1240483081">
    <w:abstractNumId w:val="12"/>
  </w:num>
  <w:num w:numId="5" w16cid:durableId="515266726">
    <w:abstractNumId w:val="7"/>
  </w:num>
  <w:num w:numId="6" w16cid:durableId="1067149170">
    <w:abstractNumId w:val="10"/>
  </w:num>
  <w:num w:numId="7" w16cid:durableId="608440070">
    <w:abstractNumId w:val="20"/>
  </w:num>
  <w:num w:numId="8" w16cid:durableId="1966036733">
    <w:abstractNumId w:val="5"/>
  </w:num>
  <w:num w:numId="9" w16cid:durableId="673845531">
    <w:abstractNumId w:val="23"/>
  </w:num>
  <w:num w:numId="10" w16cid:durableId="2038849076">
    <w:abstractNumId w:val="24"/>
  </w:num>
  <w:num w:numId="11" w16cid:durableId="263726929">
    <w:abstractNumId w:val="14"/>
  </w:num>
  <w:num w:numId="12" w16cid:durableId="2057654448">
    <w:abstractNumId w:val="4"/>
  </w:num>
  <w:num w:numId="13" w16cid:durableId="1227716637">
    <w:abstractNumId w:val="15"/>
  </w:num>
  <w:num w:numId="14" w16cid:durableId="372073819">
    <w:abstractNumId w:val="13"/>
  </w:num>
  <w:num w:numId="15" w16cid:durableId="1674145809">
    <w:abstractNumId w:val="6"/>
  </w:num>
  <w:num w:numId="16" w16cid:durableId="1752920396">
    <w:abstractNumId w:val="26"/>
  </w:num>
  <w:num w:numId="17" w16cid:durableId="1929608369">
    <w:abstractNumId w:val="17"/>
  </w:num>
  <w:num w:numId="18" w16cid:durableId="1768846872">
    <w:abstractNumId w:val="21"/>
  </w:num>
  <w:num w:numId="19" w16cid:durableId="760953169">
    <w:abstractNumId w:val="9"/>
  </w:num>
  <w:num w:numId="20" w16cid:durableId="262809403">
    <w:abstractNumId w:val="2"/>
  </w:num>
  <w:num w:numId="21" w16cid:durableId="1414474875">
    <w:abstractNumId w:val="19"/>
  </w:num>
  <w:num w:numId="22" w16cid:durableId="55591237">
    <w:abstractNumId w:val="22"/>
  </w:num>
  <w:num w:numId="23" w16cid:durableId="2093548021">
    <w:abstractNumId w:val="8"/>
  </w:num>
  <w:num w:numId="24" w16cid:durableId="1976400285">
    <w:abstractNumId w:val="16"/>
  </w:num>
  <w:num w:numId="25" w16cid:durableId="510527582">
    <w:abstractNumId w:val="3"/>
  </w:num>
  <w:num w:numId="26" w16cid:durableId="147719466">
    <w:abstractNumId w:val="0"/>
  </w:num>
  <w:num w:numId="27" w16cid:durableId="4409538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66"/>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739F"/>
    <w:rsid w:val="007A29B9"/>
    <w:rsid w:val="00D24CB0"/>
    <w:rsid w:val="00DB73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8A9492"/>
  <w15:docId w15:val="{C7FB05B3-8786-4DB9-82B4-0C532346C0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1407"/>
    <w:pPr>
      <w:spacing w:before="40" w:after="0" w:line="259" w:lineRule="auto"/>
    </w:pPr>
    <w:rPr>
      <w:rFonts w:eastAsiaTheme="minorEastAsia"/>
      <w:kern w:val="0"/>
      <w:sz w:val="20"/>
      <w:szCs w:val="22"/>
      <w14:ligatures w14:val="none"/>
    </w:rPr>
  </w:style>
  <w:style w:type="paragraph" w:styleId="Heading1">
    <w:name w:val="heading 1"/>
    <w:basedOn w:val="Normal"/>
    <w:next w:val="Normal"/>
    <w:link w:val="Heading1Char"/>
    <w:autoRedefine/>
    <w:uiPriority w:val="9"/>
    <w:qFormat/>
    <w:rsid w:val="00A56578"/>
    <w:pPr>
      <w:keepNext/>
      <w:keepLines/>
      <w:outlineLvl w:val="0"/>
    </w:pPr>
    <w:rPr>
      <w:rFonts w:asciiTheme="majorHAnsi" w:eastAsiaTheme="majorEastAsia" w:hAnsiTheme="majorHAnsi" w:cstheme="majorBidi"/>
      <w:color w:val="215E99" w:themeColor="text2" w:themeTint="BF"/>
      <w:kern w:val="2"/>
      <w:sz w:val="28"/>
      <w:szCs w:val="28"/>
      <w14:ligatures w14:val="standardContextual"/>
    </w:rPr>
  </w:style>
  <w:style w:type="paragraph" w:styleId="Heading2">
    <w:name w:val="heading 2"/>
    <w:basedOn w:val="Normal"/>
    <w:next w:val="Normal"/>
    <w:link w:val="Heading2Char"/>
    <w:autoRedefine/>
    <w:uiPriority w:val="9"/>
    <w:unhideWhenUsed/>
    <w:qFormat/>
    <w:rsid w:val="00E47B72"/>
    <w:pPr>
      <w:keepNext/>
      <w:keepLines/>
      <w:spacing w:after="80"/>
      <w:outlineLvl w:val="1"/>
    </w:pPr>
    <w:rPr>
      <w:rFonts w:asciiTheme="majorHAnsi" w:eastAsiaTheme="majorEastAsia" w:hAnsiTheme="majorHAnsi" w:cstheme="majorBidi"/>
      <w:color w:val="0B769F" w:themeColor="accent4" w:themeShade="BF"/>
      <w:kern w:val="2"/>
      <w:sz w:val="24"/>
      <w:szCs w:val="26"/>
      <w14:ligatures w14:val="standardContextual"/>
    </w:rPr>
  </w:style>
  <w:style w:type="paragraph" w:styleId="Heading3">
    <w:name w:val="heading 3"/>
    <w:basedOn w:val="Normal"/>
    <w:next w:val="Normal"/>
    <w:link w:val="Heading3Char"/>
    <w:autoRedefine/>
    <w:uiPriority w:val="9"/>
    <w:unhideWhenUsed/>
    <w:qFormat/>
    <w:rsid w:val="00D938B0"/>
    <w:pPr>
      <w:keepNext/>
      <w:keepLines/>
      <w:outlineLvl w:val="2"/>
    </w:pPr>
    <w:rPr>
      <w:rFonts w:eastAsiaTheme="majorEastAsia" w:cstheme="majorBidi"/>
      <w:b/>
      <w:bCs/>
      <w:i/>
      <w:color w:val="80340D" w:themeColor="accent2" w:themeShade="80"/>
      <w:kern w:val="2"/>
      <w:szCs w:val="24"/>
      <w14:ligatures w14:val="standardContextual"/>
    </w:rPr>
  </w:style>
  <w:style w:type="paragraph" w:styleId="Heading4">
    <w:name w:val="heading 4"/>
    <w:basedOn w:val="Normal"/>
    <w:next w:val="Normal"/>
    <w:link w:val="Heading4Char"/>
    <w:autoRedefine/>
    <w:uiPriority w:val="9"/>
    <w:semiHidden/>
    <w:unhideWhenUsed/>
    <w:qFormat/>
    <w:rsid w:val="00045B39"/>
    <w:pPr>
      <w:keepNext/>
      <w:keepLines/>
      <w:ind w:firstLine="720"/>
      <w:outlineLvl w:val="3"/>
    </w:pPr>
    <w:rPr>
      <w:rFonts w:eastAsiaTheme="majorEastAsia" w:cstheme="majorBidi"/>
      <w:b/>
      <w:bCs/>
      <w:iCs/>
      <w:kern w:val="2"/>
      <w:szCs w:val="24"/>
      <w14:ligatures w14:val="standardContextual"/>
    </w:rPr>
  </w:style>
  <w:style w:type="paragraph" w:styleId="Heading5">
    <w:name w:val="heading 5"/>
    <w:basedOn w:val="Normal"/>
    <w:next w:val="Normal"/>
    <w:link w:val="Heading5Char"/>
    <w:uiPriority w:val="9"/>
    <w:semiHidden/>
    <w:unhideWhenUsed/>
    <w:qFormat/>
    <w:rsid w:val="002F7C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7C56"/>
    <w:pPr>
      <w:keepNext/>
      <w:keepLines/>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7C56"/>
    <w:pPr>
      <w:keepNext/>
      <w:keepLines/>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7C5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7C5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IntenseEmphasis">
    <w:name w:val="Intense Emphasis"/>
    <w:basedOn w:val="DefaultParagraphFont"/>
    <w:uiPriority w:val="21"/>
    <w:qFormat/>
    <w:rsid w:val="00FD5A9A"/>
    <w:rPr>
      <w:rFonts w:ascii="Avenir Next LT Pro" w:hAnsi="Avenir Next LT Pro"/>
      <w:b w:val="0"/>
      <w:i/>
      <w:iCs/>
      <w:color w:val="80340D" w:themeColor="accent2" w:themeShade="80"/>
      <w:sz w:val="20"/>
    </w:rPr>
  </w:style>
  <w:style w:type="character" w:customStyle="1" w:styleId="Heading3Char">
    <w:name w:val="Heading 3 Char"/>
    <w:basedOn w:val="DefaultParagraphFont"/>
    <w:link w:val="Heading3"/>
    <w:uiPriority w:val="9"/>
    <w:rsid w:val="00D938B0"/>
    <w:rPr>
      <w:rFonts w:eastAsiaTheme="majorEastAsia" w:cstheme="majorBidi"/>
      <w:b/>
      <w:bCs/>
      <w:i/>
      <w:color w:val="80340D" w:themeColor="accent2" w:themeShade="80"/>
      <w:sz w:val="20"/>
    </w:rPr>
  </w:style>
  <w:style w:type="paragraph" w:customStyle="1" w:styleId="References">
    <w:name w:val="References"/>
    <w:basedOn w:val="Normal"/>
    <w:autoRedefine/>
    <w:qFormat/>
    <w:rsid w:val="00045B39"/>
    <w:pPr>
      <w:ind w:left="720" w:hanging="720"/>
    </w:pPr>
    <w:rPr>
      <w:b/>
    </w:rPr>
  </w:style>
  <w:style w:type="character" w:customStyle="1" w:styleId="Heading1Char">
    <w:name w:val="Heading 1 Char"/>
    <w:basedOn w:val="DefaultParagraphFont"/>
    <w:link w:val="Heading1"/>
    <w:uiPriority w:val="9"/>
    <w:rsid w:val="00A56578"/>
    <w:rPr>
      <w:rFonts w:asciiTheme="majorHAnsi" w:eastAsiaTheme="majorEastAsia" w:hAnsiTheme="majorHAnsi" w:cstheme="majorBidi"/>
      <w:color w:val="215E99" w:themeColor="text2" w:themeTint="BF"/>
      <w:sz w:val="28"/>
      <w:szCs w:val="28"/>
    </w:rPr>
  </w:style>
  <w:style w:type="character" w:customStyle="1" w:styleId="Heading2Char">
    <w:name w:val="Heading 2 Char"/>
    <w:basedOn w:val="DefaultParagraphFont"/>
    <w:link w:val="Heading2"/>
    <w:uiPriority w:val="9"/>
    <w:rsid w:val="00E47B72"/>
    <w:rPr>
      <w:rFonts w:asciiTheme="majorHAnsi" w:eastAsiaTheme="majorEastAsia" w:hAnsiTheme="majorHAnsi" w:cstheme="majorBidi"/>
      <w:color w:val="0B769F" w:themeColor="accent4" w:themeShade="BF"/>
      <w:szCs w:val="26"/>
    </w:rPr>
  </w:style>
  <w:style w:type="character" w:customStyle="1" w:styleId="Heading4Char">
    <w:name w:val="Heading 4 Char"/>
    <w:basedOn w:val="DefaultParagraphFont"/>
    <w:link w:val="Heading4"/>
    <w:uiPriority w:val="9"/>
    <w:semiHidden/>
    <w:rsid w:val="00045B39"/>
    <w:rPr>
      <w:rFonts w:ascii="Times New Roman" w:eastAsiaTheme="majorEastAsia" w:hAnsi="Times New Roman" w:cstheme="majorBidi"/>
      <w:b/>
      <w:bCs/>
      <w:iCs/>
    </w:rPr>
  </w:style>
  <w:style w:type="character" w:customStyle="1" w:styleId="Heading5Char">
    <w:name w:val="Heading 5 Char"/>
    <w:basedOn w:val="DefaultParagraphFont"/>
    <w:link w:val="Heading5"/>
    <w:uiPriority w:val="9"/>
    <w:semiHidden/>
    <w:rsid w:val="002F7C56"/>
    <w:rPr>
      <w:rFonts w:eastAsiaTheme="majorEastAsia" w:cstheme="majorBidi"/>
      <w:color w:val="0F4761" w:themeColor="accent1" w:themeShade="BF"/>
      <w:kern w:val="0"/>
      <w:szCs w:val="22"/>
      <w14:ligatures w14:val="none"/>
    </w:rPr>
  </w:style>
  <w:style w:type="character" w:customStyle="1" w:styleId="Heading6Char">
    <w:name w:val="Heading 6 Char"/>
    <w:basedOn w:val="DefaultParagraphFont"/>
    <w:link w:val="Heading6"/>
    <w:uiPriority w:val="9"/>
    <w:semiHidden/>
    <w:rsid w:val="002F7C56"/>
    <w:rPr>
      <w:rFonts w:eastAsiaTheme="majorEastAsia" w:cstheme="majorBidi"/>
      <w:i/>
      <w:iCs/>
      <w:color w:val="595959" w:themeColor="text1" w:themeTint="A6"/>
      <w:kern w:val="0"/>
      <w:szCs w:val="22"/>
      <w14:ligatures w14:val="none"/>
    </w:rPr>
  </w:style>
  <w:style w:type="character" w:customStyle="1" w:styleId="Heading7Char">
    <w:name w:val="Heading 7 Char"/>
    <w:basedOn w:val="DefaultParagraphFont"/>
    <w:link w:val="Heading7"/>
    <w:uiPriority w:val="9"/>
    <w:semiHidden/>
    <w:rsid w:val="002F7C56"/>
    <w:rPr>
      <w:rFonts w:eastAsiaTheme="majorEastAsia" w:cstheme="majorBidi"/>
      <w:color w:val="595959" w:themeColor="text1" w:themeTint="A6"/>
      <w:kern w:val="0"/>
      <w:szCs w:val="22"/>
      <w14:ligatures w14:val="none"/>
    </w:rPr>
  </w:style>
  <w:style w:type="character" w:customStyle="1" w:styleId="Heading8Char">
    <w:name w:val="Heading 8 Char"/>
    <w:basedOn w:val="DefaultParagraphFont"/>
    <w:link w:val="Heading8"/>
    <w:uiPriority w:val="9"/>
    <w:semiHidden/>
    <w:rsid w:val="002F7C56"/>
    <w:rPr>
      <w:rFonts w:eastAsiaTheme="majorEastAsia" w:cstheme="majorBidi"/>
      <w:i/>
      <w:iCs/>
      <w:color w:val="272727" w:themeColor="text1" w:themeTint="D8"/>
      <w:kern w:val="0"/>
      <w:szCs w:val="22"/>
      <w14:ligatures w14:val="none"/>
    </w:rPr>
  </w:style>
  <w:style w:type="character" w:customStyle="1" w:styleId="Heading9Char">
    <w:name w:val="Heading 9 Char"/>
    <w:basedOn w:val="DefaultParagraphFont"/>
    <w:link w:val="Heading9"/>
    <w:uiPriority w:val="9"/>
    <w:semiHidden/>
    <w:rsid w:val="002F7C56"/>
    <w:rPr>
      <w:rFonts w:eastAsiaTheme="majorEastAsia" w:cstheme="majorBidi"/>
      <w:color w:val="272727" w:themeColor="text1" w:themeTint="D8"/>
      <w:kern w:val="0"/>
      <w:szCs w:val="22"/>
      <w14:ligatures w14:val="none"/>
    </w:rPr>
  </w:style>
  <w:style w:type="paragraph" w:styleId="Title">
    <w:name w:val="Title"/>
    <w:basedOn w:val="Normal"/>
    <w:next w:val="Normal"/>
    <w:link w:val="TitleChar"/>
    <w:uiPriority w:val="10"/>
    <w:qFormat/>
    <w:rsid w:val="001B0FAE"/>
    <w:pPr>
      <w:spacing w:after="80" w:line="240" w:lineRule="auto"/>
      <w:contextualSpacing/>
    </w:pPr>
    <w:rPr>
      <w:rFonts w:asciiTheme="majorHAnsi" w:eastAsiaTheme="majorEastAsia" w:hAnsiTheme="majorHAnsi" w:cstheme="majorBidi"/>
      <w:color w:val="156082" w:themeColor="accent1"/>
      <w:spacing w:val="-10"/>
      <w:kern w:val="28"/>
      <w:sz w:val="36"/>
      <w:szCs w:val="56"/>
    </w:rPr>
  </w:style>
  <w:style w:type="character" w:customStyle="1" w:styleId="TitleChar">
    <w:name w:val="Title Char"/>
    <w:basedOn w:val="DefaultParagraphFont"/>
    <w:link w:val="Title"/>
    <w:uiPriority w:val="10"/>
    <w:rsid w:val="001B0FAE"/>
    <w:rPr>
      <w:rFonts w:asciiTheme="majorHAnsi" w:eastAsiaTheme="majorEastAsia" w:hAnsiTheme="majorHAnsi" w:cstheme="majorBidi"/>
      <w:color w:val="156082" w:themeColor="accent1"/>
      <w:spacing w:val="-10"/>
      <w:kern w:val="28"/>
      <w:sz w:val="36"/>
      <w:szCs w:val="56"/>
      <w14:ligatures w14:val="none"/>
    </w:rPr>
  </w:style>
  <w:style w:type="paragraph" w:styleId="Subtitle">
    <w:name w:val="Subtitle"/>
    <w:basedOn w:val="Normal"/>
    <w:next w:val="Normal"/>
    <w:link w:val="SubtitleChar"/>
    <w:uiPriority w:val="11"/>
    <w:qFormat/>
    <w:rsid w:val="002F7C5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7C56"/>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2F7C5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F7C56"/>
    <w:rPr>
      <w:rFonts w:ascii="Times New Roman" w:eastAsiaTheme="minorEastAsia" w:hAnsi="Times New Roman"/>
      <w:i/>
      <w:iCs/>
      <w:color w:val="404040" w:themeColor="text1" w:themeTint="BF"/>
      <w:kern w:val="0"/>
      <w:szCs w:val="22"/>
      <w14:ligatures w14:val="none"/>
    </w:rPr>
  </w:style>
  <w:style w:type="paragraph" w:styleId="ListParagraph">
    <w:name w:val="List Paragraph"/>
    <w:basedOn w:val="Normal"/>
    <w:uiPriority w:val="34"/>
    <w:qFormat/>
    <w:rsid w:val="002F7C56"/>
    <w:pPr>
      <w:ind w:left="720"/>
      <w:contextualSpacing/>
    </w:pPr>
  </w:style>
  <w:style w:type="paragraph" w:styleId="IntenseQuote">
    <w:name w:val="Intense Quote"/>
    <w:basedOn w:val="Normal"/>
    <w:next w:val="Normal"/>
    <w:link w:val="IntenseQuoteChar"/>
    <w:uiPriority w:val="30"/>
    <w:qFormat/>
    <w:rsid w:val="002F7C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7C56"/>
    <w:rPr>
      <w:rFonts w:ascii="Times New Roman" w:eastAsiaTheme="minorEastAsia" w:hAnsi="Times New Roman"/>
      <w:i/>
      <w:iCs/>
      <w:color w:val="0F4761" w:themeColor="accent1" w:themeShade="BF"/>
      <w:kern w:val="0"/>
      <w:szCs w:val="22"/>
      <w14:ligatures w14:val="none"/>
    </w:rPr>
  </w:style>
  <w:style w:type="character" w:styleId="IntenseReference">
    <w:name w:val="Intense Reference"/>
    <w:basedOn w:val="DefaultParagraphFont"/>
    <w:uiPriority w:val="32"/>
    <w:qFormat/>
    <w:rsid w:val="002F7C56"/>
    <w:rPr>
      <w:b/>
      <w:bCs/>
      <w:smallCaps/>
      <w:color w:val="0F4761" w:themeColor="accent1" w:themeShade="BF"/>
      <w:spacing w:val="5"/>
    </w:rPr>
  </w:style>
  <w:style w:type="character" w:styleId="SubtleEmphasis">
    <w:name w:val="Subtle Emphasis"/>
    <w:basedOn w:val="DefaultParagraphFont"/>
    <w:uiPriority w:val="19"/>
    <w:qFormat/>
    <w:rsid w:val="00A1475C"/>
    <w:rPr>
      <w:rFonts w:asciiTheme="minorHAnsi" w:hAnsiTheme="minorHAnsi"/>
      <w:i/>
      <w:iCs/>
      <w:color w:val="595959" w:themeColor="text1" w:themeTint="A6"/>
      <w:sz w:val="22"/>
    </w:rPr>
  </w:style>
  <w:style w:type="paragraph" w:styleId="Header">
    <w:name w:val="header"/>
    <w:basedOn w:val="Normal"/>
    <w:link w:val="HeaderChar"/>
    <w:uiPriority w:val="99"/>
    <w:unhideWhenUsed/>
    <w:rsid w:val="00FC64BE"/>
    <w:pPr>
      <w:tabs>
        <w:tab w:val="center" w:pos="4680"/>
        <w:tab w:val="right" w:pos="9360"/>
      </w:tabs>
      <w:spacing w:before="0" w:line="240" w:lineRule="auto"/>
    </w:pPr>
  </w:style>
  <w:style w:type="character" w:customStyle="1" w:styleId="HeaderChar">
    <w:name w:val="Header Char"/>
    <w:basedOn w:val="DefaultParagraphFont"/>
    <w:link w:val="Header"/>
    <w:uiPriority w:val="99"/>
    <w:rsid w:val="00FC64BE"/>
    <w:rPr>
      <w:rFonts w:eastAsiaTheme="minorEastAsia"/>
      <w:kern w:val="0"/>
      <w:sz w:val="22"/>
      <w:szCs w:val="22"/>
      <w14:ligatures w14:val="none"/>
    </w:rPr>
  </w:style>
  <w:style w:type="paragraph" w:styleId="Footer">
    <w:name w:val="footer"/>
    <w:basedOn w:val="Normal"/>
    <w:link w:val="FooterChar"/>
    <w:uiPriority w:val="99"/>
    <w:unhideWhenUsed/>
    <w:rsid w:val="00FC64BE"/>
    <w:pPr>
      <w:tabs>
        <w:tab w:val="center" w:pos="4680"/>
        <w:tab w:val="right" w:pos="9360"/>
      </w:tabs>
      <w:spacing w:before="0" w:line="240" w:lineRule="auto"/>
    </w:pPr>
  </w:style>
  <w:style w:type="character" w:customStyle="1" w:styleId="FooterChar">
    <w:name w:val="Footer Char"/>
    <w:basedOn w:val="DefaultParagraphFont"/>
    <w:link w:val="Footer"/>
    <w:uiPriority w:val="99"/>
    <w:rsid w:val="00FC64BE"/>
    <w:rPr>
      <w:rFonts w:eastAsiaTheme="minorEastAsia"/>
      <w:kern w:val="0"/>
      <w:sz w:val="22"/>
      <w:szCs w:val="22"/>
      <w14:ligatures w14:val="none"/>
    </w:rPr>
  </w:style>
  <w:style w:type="paragraph" w:styleId="NoSpacing">
    <w:name w:val="No Spacing"/>
    <w:link w:val="NoSpacingChar"/>
    <w:uiPriority w:val="1"/>
    <w:qFormat/>
    <w:rsid w:val="0074501B"/>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74501B"/>
    <w:rPr>
      <w:rFonts w:eastAsiaTheme="minorEastAsia"/>
      <w:kern w:val="0"/>
      <w:sz w:val="22"/>
      <w:szCs w:val="22"/>
      <w14:ligatures w14:val="none"/>
    </w:rPr>
  </w:style>
  <w:style w:type="character" w:styleId="Emphasis">
    <w:name w:val="Emphasis"/>
    <w:basedOn w:val="DefaultParagraphFont"/>
    <w:uiPriority w:val="20"/>
    <w:qFormat/>
    <w:rsid w:val="005D5A6A"/>
    <w:rPr>
      <w:b/>
      <w:i/>
      <w:iCs/>
      <w:color w:val="0A2F41" w:themeColor="accent1" w:themeShade="80"/>
    </w:rPr>
  </w:style>
  <w:style w:type="table" w:styleId="GridTable1Light">
    <w:name w:val="Grid Table 1 Light"/>
    <w:basedOn w:val="TableNormal"/>
    <w:uiPriority w:val="46"/>
    <w:rsid w:val="00D6277B"/>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4225DD"/>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paragraph" w:customStyle="1" w:styleId="msonormal0">
    <w:name w:val="msonormal"/>
    <w:basedOn w:val="Normal"/>
    <w:rsid w:val="00C96584"/>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C9658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96584"/>
    <w:rPr>
      <w:b/>
      <w:bCs/>
    </w:rPr>
  </w:style>
  <w:style w:type="paragraph" w:styleId="HTMLPreformatted">
    <w:name w:val="HTML Preformatted"/>
    <w:basedOn w:val="Normal"/>
    <w:link w:val="HTMLPreformattedChar"/>
    <w:uiPriority w:val="99"/>
    <w:semiHidden/>
    <w:unhideWhenUsed/>
    <w:rsid w:val="00C965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semiHidden/>
    <w:rsid w:val="00C96584"/>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C96584"/>
    <w:rPr>
      <w:rFonts w:ascii="Courier New" w:eastAsia="Times New Roman" w:hAnsi="Courier New" w:cs="Courier New"/>
      <w:sz w:val="20"/>
      <w:szCs w:val="20"/>
    </w:rPr>
  </w:style>
  <w:style w:type="table" w:styleId="GridTable1Light-Accent4">
    <w:name w:val="Grid Table 1 Light Accent 4"/>
    <w:basedOn w:val="TableNormal"/>
    <w:uiPriority w:val="46"/>
    <w:rsid w:val="0066110A"/>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E72EFB"/>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3075</Words>
  <Characters>17532</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Syam Adusumilli</dc:creator>
  <cp:keywords/>
  <cp:lastModifiedBy>Syam Adusumilli</cp:lastModifiedBy>
  <cp:revision>2</cp:revision>
  <dcterms:created xsi:type="dcterms:W3CDTF">2026-02-05T13:28:00Z</dcterms:created>
  <dcterms:modified xsi:type="dcterms:W3CDTF">2026-02-05T13:28:00Z</dcterms:modified>
</cp:coreProperties>
</file>