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C9479" w14:textId="77777777" w:rsidR="002E7439" w:rsidRPr="00BB36EA" w:rsidRDefault="00BB36EA">
      <w:pPr>
        <w:pStyle w:val="Title"/>
        <w:rPr>
          <w:sz w:val="24"/>
          <w:szCs w:val="44"/>
        </w:rPr>
      </w:pPr>
      <w:r w:rsidRPr="00BB36EA">
        <w:rPr>
          <w:sz w:val="24"/>
          <w:szCs w:val="44"/>
        </w:rPr>
        <w:t>RHTP 11.C</w:t>
      </w:r>
    </w:p>
    <w:p w14:paraId="01D8D6BA" w14:textId="77777777" w:rsidR="002E7439" w:rsidRDefault="00BB36EA">
      <w:pPr>
        <w:pStyle w:val="Title"/>
      </w:pPr>
      <w:r>
        <w:t>Mental Health and Despair</w:t>
      </w:r>
    </w:p>
    <w:p w14:paraId="76B25F48" w14:textId="77777777" w:rsidR="002E7439" w:rsidRDefault="00BB36EA">
      <w:pPr>
        <w:pStyle w:val="Subtitle"/>
      </w:pPr>
      <w:r>
        <w:t>Individual Pathology vs. Structural Conditions</w:t>
      </w:r>
    </w:p>
    <w:p w14:paraId="33FE3276" w14:textId="77777777" w:rsidR="002E7439" w:rsidRDefault="00BB36EA">
      <w:r>
        <w:t xml:space="preserve">The </w:t>
      </w:r>
      <w:r>
        <w:rPr>
          <w:rStyle w:val="Emphasis"/>
        </w:rPr>
        <w:t>deaths of despair</w:t>
      </w:r>
      <w:r>
        <w:t xml:space="preserve"> </w:t>
      </w:r>
      <w:r>
        <w:t xml:space="preserve">that economists Anne Case and Angus Deaton first documented in 2015 continue to concentrate in rural America. Suicide, drug overdose, and alcoholic liver disease now kill more rural Americans than at any point since the early twentieth century. The question this article addresses is not whether these deaths are happening, but what they represent. Are we witnessing a </w:t>
      </w:r>
      <w:r>
        <w:rPr>
          <w:rStyle w:val="Emphasis"/>
        </w:rPr>
        <w:t>mental health crisis</w:t>
      </w:r>
      <w:r>
        <w:t xml:space="preserve"> requiring clinical intervention, or an </w:t>
      </w:r>
      <w:r>
        <w:rPr>
          <w:rStyle w:val="Emphasis"/>
        </w:rPr>
        <w:t>economic and social crisis</w:t>
      </w:r>
      <w:r>
        <w:t xml:space="preserve"> manifesting through mental health symptoms?</w:t>
      </w:r>
    </w:p>
    <w:p w14:paraId="39E2B99A" w14:textId="77777777" w:rsidR="002E7439" w:rsidRDefault="00BB36EA">
      <w:r>
        <w:t xml:space="preserve">This distinction matters profoundly for transformation planning. If the problem is primarily clinical, then expanding behavioral health services, integrating mental health into primary care, and deploying telehealth solutions should reduce mortality. If the problem is primarily structural, then clinical solutions address symptoms while leaving root causes untouched. </w:t>
      </w:r>
      <w:r>
        <w:rPr>
          <w:rStyle w:val="Emphasis"/>
        </w:rPr>
        <w:t>RHTP investments in behavioral health integration may provide important services without meaningfully changing mortality trajectories</w:t>
      </w:r>
      <w:r>
        <w:t xml:space="preserve"> if the conditions driving despair persist.</w:t>
      </w:r>
    </w:p>
    <w:p w14:paraId="49F70F87" w14:textId="77777777" w:rsidR="002E7439" w:rsidRDefault="00BB36EA">
      <w:r>
        <w:t>The evidence examined here suggests both interpretations contain truth, but policy has overwhelmingly favored clinical framing. This article assesses that framing honestly, acknowledging what behavioral health transformation can address and what remains beyond its reach.</w:t>
      </w:r>
    </w:p>
    <w:p w14:paraId="261B8BEE" w14:textId="77777777" w:rsidR="002E7439" w:rsidRDefault="00BB36EA">
      <w:pPr>
        <w:pStyle w:val="Heading1"/>
      </w:pPr>
      <w:bookmarkStart w:id="0" w:name="the-epidemiology-of-despair"/>
      <w:r>
        <w:t>The Epidemiology of Despair</w:t>
      </w:r>
    </w:p>
    <w:p w14:paraId="09D3F3CB" w14:textId="77777777" w:rsidR="002E7439" w:rsidRDefault="00BB36EA">
      <w:r>
        <w:t xml:space="preserve">Rural suicide rates now stand at </w:t>
      </w:r>
      <w:r>
        <w:rPr>
          <w:rStyle w:val="Emphasis"/>
        </w:rPr>
        <w:t>20.0 per 100,000 population</w:t>
      </w:r>
      <w:r>
        <w:t xml:space="preserve">, compared to 13.4 per 100,000 in urban areas. This 49% disparity has widened over two decades. In 2000, rural suicide rates exceeded urban rates by 31%. The gap increased to 80% by 2017 in the most rural noncore counties versus large central metro areas. </w:t>
      </w:r>
      <w:r>
        <w:rPr>
          <w:rStyle w:val="Emphasis"/>
        </w:rPr>
        <w:t>Rural males face the starkest burden</w:t>
      </w:r>
      <w:r>
        <w:t>, with age-adjusted suicide rates of 30.7 per 100,000 compared to 8.0 per 100,000 for rural females, a nearly four-fold difference.</w:t>
      </w:r>
    </w:p>
    <w:p w14:paraId="233C6D6B" w14:textId="77777777" w:rsidR="002E7439" w:rsidRDefault="00BB36EA">
      <w:r>
        <w:t xml:space="preserve">Drug overdose deaths show similar geographic patterns with more complex trajectories. From 1999 to 2017, </w:t>
      </w:r>
      <w:r>
        <w:rPr>
          <w:rStyle w:val="Emphasis"/>
        </w:rPr>
        <w:t>rural white populations experienced a 749% increase</w:t>
      </w:r>
      <w:r>
        <w:t xml:space="preserve"> in midlife drug overdose deaths, from 4 deaths per 100,000 to nearly 34 per 100,000. The opioid epidemic hit rural America first and hardest, though urban areas have since experienced substantial increases. In 2018, approximately 158,000 Americans died from deaths of despair, compared to 65,000 in 1995.</w:t>
      </w:r>
    </w:p>
    <w:p w14:paraId="603E5DF6" w14:textId="77777777" w:rsidR="002E7439" w:rsidRDefault="00BB36EA">
      <w:r>
        <w:t xml:space="preserve">Regional variation reveals concentrated suffering. Appalachian states, particularly </w:t>
      </w:r>
      <w:r>
        <w:rPr>
          <w:rStyle w:val="Emphasis"/>
        </w:rPr>
        <w:t>West Virginia, Kentucky, and Pennsylvania</w:t>
      </w:r>
      <w:r>
        <w:t>, show the highest deaths of despair rates. The Mississippi Delta and Great Plains states also demonstrate elevated mortality. States with declining manufacturing employment, reduced labor force participation, and eroding social capital correlate strongly with these mortality patterns.</w:t>
      </w:r>
    </w:p>
    <w:p w14:paraId="53A79A21" w14:textId="77777777" w:rsidR="002E7439" w:rsidRDefault="00BB36EA">
      <w:r>
        <w:t xml:space="preserve">Serious mental illness prevalence appears roughly equivalent between rural and urban areas, though treatment rates diverge dramatically. </w:t>
      </w:r>
      <w:r>
        <w:rPr>
          <w:rStyle w:val="Emphasis"/>
        </w:rPr>
        <w:t>Depression and anxiety prevalence is similarly distributed</w:t>
      </w:r>
      <w:r>
        <w:t>, but rural residents receive treatment at substantially lower rates. This gap between need and treatment forms the clinical case for behavioral health transformation.</w:t>
      </w:r>
    </w:p>
    <w:p w14:paraId="5FD0D62D" w14:textId="77777777" w:rsidR="002E7439" w:rsidRDefault="00BB36EA">
      <w:r>
        <w:t xml:space="preserve">The </w:t>
      </w:r>
      <w:r>
        <w:rPr>
          <w:rStyle w:val="Emphasis"/>
        </w:rPr>
        <w:t>Native American and Alaska Native population</w:t>
      </w:r>
      <w:r>
        <w:t xml:space="preserve"> experiences deaths of despair at rates dramatically exceeding all other groups. In 2022, the Native American midlife death rate reached 241.70 per 100,000, 2.36 times the rate among white individuals. Native American alcoholic liver disease rates of 108.83 per 100,000 were more than six times the white rate. These patterns reflect intersecting structural disadvantages that clinical intervention alone cannot address.</w:t>
      </w:r>
    </w:p>
    <w:p w14:paraId="69B575A8" w14:textId="77777777" w:rsidR="002E7439" w:rsidRDefault="00BB36EA">
      <w:pPr>
        <w:pStyle w:val="Heading1"/>
      </w:pPr>
      <w:bookmarkStart w:id="1" w:name="X951897a19a8650d59a8d5e2bc9736a2b656fe29"/>
      <w:bookmarkEnd w:id="0"/>
      <w:r>
        <w:lastRenderedPageBreak/>
        <w:t>The Core Tension: Individual Pathology vs. Structural Conditions</w:t>
      </w:r>
    </w:p>
    <w:p w14:paraId="716F8ACA" w14:textId="77777777" w:rsidR="002E7439" w:rsidRDefault="00BB36EA">
      <w:r>
        <w:t xml:space="preserve">The </w:t>
      </w:r>
      <w:r>
        <w:rPr>
          <w:rStyle w:val="Emphasis"/>
        </w:rPr>
        <w:t>clinical interpretation</w:t>
      </w:r>
      <w:r>
        <w:t xml:space="preserve"> views rural mental health mortality as a treatment gap problem. Depression, anxiety, substance use disorders, and serious mental illness are medical conditions requiring diagnosis and treatment. Rural Americans suffer and die because they lack access to psychiatrists, psychologists, counselors, and addiction specialists. The solution is expanding the behavioral health workforce, integrating mental health into primary care settings, deploying telehealth to overcome geographic barriers</w:t>
      </w:r>
      <w:r>
        <w:t>, and reducing stigma that prevents care-seeking.</w:t>
      </w:r>
    </w:p>
    <w:p w14:paraId="5F2C62A3" w14:textId="77777777" w:rsidR="002E7439" w:rsidRDefault="00BB36EA">
      <w:r>
        <w:t xml:space="preserve">This interpretation has substantial evidence. Over </w:t>
      </w:r>
      <w:r>
        <w:rPr>
          <w:rStyle w:val="Emphasis"/>
        </w:rPr>
        <w:t>160 million Americans live in designated mental health professional shortage areas</w:t>
      </w:r>
      <w:r>
        <w:t>. More than half of U.S. counties lack a practicing psychiatrist. Rural counties have one-third the supply of psychiatrists and half the supply of psychologists compared to urban areas. HRSA projects severe shortages of psychiatrists, psychologists, counselors, and marriage and family therapists through 2036. When rural residents do seek care, they often wait months for appointments, travel hours for specialty services, or rec</w:t>
      </w:r>
      <w:r>
        <w:t>eive care from primary care providers without behavioral health training.</w:t>
      </w:r>
    </w:p>
    <w:p w14:paraId="44D0FFC6" w14:textId="77777777" w:rsidR="002E7439" w:rsidRDefault="00BB36EA">
      <w:r>
        <w:t xml:space="preserve">The </w:t>
      </w:r>
      <w:r>
        <w:rPr>
          <w:rStyle w:val="Emphasis"/>
        </w:rPr>
        <w:t>structural interpretation</w:t>
      </w:r>
      <w:r>
        <w:t xml:space="preserve"> argues that mental health framing individualizes problems requiring collective solutions. Case and Deaton attribute deaths of despair to “a long-standing process of cumulative disadvantage for those with less than a college degree. The story is rooted in the labor market, but involves many aspects of life.” From this view, despair is a rational response to deteriorating circumstances: </w:t>
      </w:r>
      <w:r>
        <w:rPr>
          <w:rStyle w:val="Emphasis"/>
        </w:rPr>
        <w:t>jobs that disappeared and did not return, communities hollowed by economic decline, marriages dest</w:t>
      </w:r>
      <w:r>
        <w:rPr>
          <w:rStyle w:val="Emphasis"/>
        </w:rPr>
        <w:t>abilized by financial stress, and futures that offer less than the past</w:t>
      </w:r>
      <w:r>
        <w:t>.</w:t>
      </w:r>
    </w:p>
    <w:p w14:paraId="20F132BD" w14:textId="77777777" w:rsidR="002E7439" w:rsidRDefault="00BB36EA">
      <w:r>
        <w:t>This interpretation also has evidence. Deaths of despair concentrated among working-age adults without college degrees experiencing stagnant wages, declining labor force participation, and reduced marriage rates. Geographic clustering follows economic decline: manufacturing regions, coal country, agricultural areas facing consolidation. The timing aligns with deindustrialization, global trade shifts, and automation. Yet Black Americans, who experienced comparable or worse economic deterioration, initially s</w:t>
      </w:r>
      <w:r>
        <w:t>howed declining mortality, challenging purely economic explanations.</w:t>
      </w:r>
    </w:p>
    <w:p w14:paraId="60342E09" w14:textId="77777777" w:rsidR="002E7439" w:rsidRDefault="00BB36EA">
      <w:r>
        <w:rPr>
          <w:rStyle w:val="Emphasis"/>
        </w:rPr>
        <w:t>Neither interpretation alone suffices.</w:t>
      </w:r>
      <w:r>
        <w:t xml:space="preserve"> Clinical services clearly matter; untreated depression contributes to suicide, and untreated addiction drives overdose deaths. But clinical services have expanded substantially over two decades while deaths of despair increased. Medicaid expansion improved access to behavioral health treatment in adopting states, yet mortality trends continued upward. Opioid prescribing restrictions reduced some overdose deaths while synthetic fentanyl drove rates higher. </w:t>
      </w:r>
      <w:r>
        <w:rPr>
          <w:rStyle w:val="Emphasis"/>
        </w:rPr>
        <w:t>Treatment helps individuals but has not reversed po</w:t>
      </w:r>
      <w:r>
        <w:rPr>
          <w:rStyle w:val="Emphasis"/>
        </w:rPr>
        <w:t>pulation trajectories.</w:t>
      </w:r>
    </w:p>
    <w:p w14:paraId="4CD70402" w14:textId="77777777" w:rsidR="002E7439" w:rsidRDefault="00BB36EA">
      <w:pPr>
        <w:pStyle w:val="Heading1"/>
      </w:pPr>
      <w:bookmarkStart w:id="2" w:name="living-between-need-and-treatment"/>
      <w:bookmarkEnd w:id="1"/>
      <w:r>
        <w:t>Living Between Need and Treatment</w:t>
      </w:r>
    </w:p>
    <w:p w14:paraId="6FC19A6A" w14:textId="77777777" w:rsidR="002E7439" w:rsidRDefault="00BB36EA">
      <w:r>
        <w:t>Marcus grew up in a small town in eastern Kentucky where his father worked the mines and his grandfather before him. The mine closed when Marcus was nineteen. He tried community college but dropped out when his mother got sick and needed help. He worked construction, drove trucks, took whatever jobs came. Each one paid less than the last, adjusted for inflation. Each one felt more precarious.</w:t>
      </w:r>
    </w:p>
    <w:p w14:paraId="714DBE9B" w14:textId="77777777" w:rsidR="002E7439" w:rsidRDefault="00BB36EA">
      <w:r>
        <w:t>By thirty-five, Marcus had chronic back pain from years of physical labor. A doctor prescribed oxycodone. When the prescriptions became harder to get, heroin was cheaper and easier to find. Marcus tried to quit several times. The nearest addiction treatment center accepting his insurance was ninety minutes away. The waiting list was four months. He went twice, relapsed twice.</w:t>
      </w:r>
    </w:p>
    <w:p w14:paraId="4E9621F1" w14:textId="77777777" w:rsidR="002E7439" w:rsidRDefault="00BB36EA">
      <w:r>
        <w:rPr>
          <w:rStyle w:val="Emphasis"/>
        </w:rPr>
        <w:t>Marcus does not think of himself as mentally ill.</w:t>
      </w:r>
      <w:r>
        <w:t xml:space="preserve"> He knows men who came back from Vietnam or Iraq with problems that look like what doctors call PTSD. His situation feels different. He is not traumatized by a specific event. He is ground down by decades of watching his world diminish: the mill where his uncle worked, closed; the downtown where his family shopped, hollowed; the church where he was baptized, struggling to keep the lights on.</w:t>
      </w:r>
    </w:p>
    <w:p w14:paraId="70A0E819" w14:textId="77777777" w:rsidR="002E7439" w:rsidRDefault="00BB36EA">
      <w:r>
        <w:lastRenderedPageBreak/>
        <w:t xml:space="preserve">When the counselor at his last treatment program asked what he was self-medicating, Marcus struggled to answer. Not exactly sadness, though that was part of it. More like </w:t>
      </w:r>
      <w:r>
        <w:rPr>
          <w:rStyle w:val="Emphasis"/>
        </w:rPr>
        <w:t>the absence of a future he could believe in.</w:t>
      </w:r>
      <w:r>
        <w:t xml:space="preserve"> The counselor was helpful, genuinely caring. But she could not give him a reason to get up in the morning that would still exist when he went home.</w:t>
      </w:r>
    </w:p>
    <w:p w14:paraId="67F50735" w14:textId="77777777" w:rsidR="002E7439" w:rsidRDefault="00BB36EA">
      <w:r>
        <w:t xml:space="preserve">Marcus is not a composite case. Thousands of Marcuses live in rural America. Their individual trajectories vary, but the pattern repeats. </w:t>
      </w:r>
      <w:r>
        <w:rPr>
          <w:rStyle w:val="Emphasis"/>
        </w:rPr>
        <w:t>Clinical intervention offers genuine help but cannot address what makes life feel worth living.</w:t>
      </w:r>
      <w:r>
        <w:t xml:space="preserve"> That requires something treatment programs cannot prescribe.</w:t>
      </w:r>
    </w:p>
    <w:p w14:paraId="3E226D79" w14:textId="77777777" w:rsidR="002E7439" w:rsidRDefault="00BB36EA">
      <w:pPr>
        <w:pStyle w:val="Heading1"/>
      </w:pPr>
      <w:bookmarkStart w:id="3" w:name="Xb60e506e91d1cb3c7e056d46d725bb6a8afcb8a"/>
      <w:bookmarkEnd w:id="2"/>
      <w:r>
        <w:t>Clinical Access and Workforce Constraints</w:t>
      </w:r>
    </w:p>
    <w:p w14:paraId="49CE800A" w14:textId="77777777" w:rsidR="002E7439" w:rsidRDefault="00BB36EA">
      <w:r>
        <w:t xml:space="preserve">The behavioral health workforce shortage in rural America operates at every level of care. </w:t>
      </w:r>
      <w:r>
        <w:rPr>
          <w:rStyle w:val="Emphasis"/>
        </w:rPr>
        <w:t>Psychiatrist distribution</w:t>
      </w:r>
      <w:r>
        <w:t xml:space="preserve"> exemplifies the challenge: while 70% of U.S. psychiatrists practice in metropolitan areas, rural counties often have none. The population-to-psychiatrist ratio in many rural areas exceeds 30,000 to 1, the threshold for mental health professional shortage designation. Some frontier counties have ratios approaching 100,000 to 1.</w:t>
      </w:r>
    </w:p>
    <w:p w14:paraId="1212EB9C" w14:textId="77777777" w:rsidR="002E7439" w:rsidRDefault="00BB36EA">
      <w:r>
        <w:t xml:space="preserve">Primary care provides the majority of mental health treatment in rural America. Approximately </w:t>
      </w:r>
      <w:r>
        <w:rPr>
          <w:rStyle w:val="Emphasis"/>
        </w:rPr>
        <w:t>32% of mental health-related office visits</w:t>
      </w:r>
      <w:r>
        <w:t xml:space="preserve"> occur with primary care providers rather than specialists. This pattern reflects both necessity and preference; many rural residents feel more comfortable discussing mental health concerns with their family doctor. Yet primary care providers typically receive limited behavioral health training and face time constraints limiting their ability to address complex conditions.</w:t>
      </w:r>
    </w:p>
    <w:p w14:paraId="7AE56954" w14:textId="77777777" w:rsidR="002E7439" w:rsidRDefault="00BB36EA">
      <w:r>
        <w:rPr>
          <w:rStyle w:val="Emphasis"/>
        </w:rPr>
        <w:t>Collaborative care models</w:t>
      </w:r>
      <w:r>
        <w:t xml:space="preserve"> that integrate behavioral health specialists into primary care show strong evidence of effectiveness. Studies demonstrate improved depression outcomes, better chronic disease management, and reduced costs when behavioral health is integrated. Yet implementation requires resources many rural practices lack: behavioral health consultants to embed in practices, care managers to coordinate treatment, and psychiatric consultants available for complex cases.</w:t>
      </w:r>
    </w:p>
    <w:p w14:paraId="4E06BB6B" w14:textId="77777777" w:rsidR="002E7439" w:rsidRDefault="00BB36EA">
      <w:r>
        <w:t xml:space="preserve">Telehealth has expanded behavioral health access substantially, particularly following COVID-19 regulatory changes. </w:t>
      </w:r>
      <w:r>
        <w:rPr>
          <w:rStyle w:val="Emphasis"/>
        </w:rPr>
        <w:t>Rural telehealth utilization increased dramatically</w:t>
      </w:r>
      <w:r>
        <w:t>, with many patients reporting satisfaction with video-based counseling. However, telehealth cannot fully substitute for in-person care. Patients in crisis, those with serious mental illness requiring medication management, and individuals lacking reliable internet or private space face persistent barriers. Approximately 21% of rural Americans lack broadband access, limiting telehealth reach precisely where in-person services are scarcest.</w:t>
      </w:r>
    </w:p>
    <w:p w14:paraId="7350D41B" w14:textId="77777777" w:rsidR="002E7439" w:rsidRDefault="00BB36EA">
      <w:r>
        <w:rPr>
          <w:rStyle w:val="Emphasis"/>
        </w:rPr>
        <w:t>Substance use disorder treatment</w:t>
      </w:r>
      <w:r>
        <w:t xml:space="preserve"> </w:t>
      </w:r>
      <w:r>
        <w:t>faces particular access challenges. While medication-assisted treatment with buprenorphine, methadone, or naltrexone represents the evidence-based standard, rural access remains limited. Methadone requires daily visits to certified opioid treatment programs, of which few exist in rural areas. Buprenorphine prescribing expanded with regulatory changes allowing more providers to prescribe, but rural availability still lags. In 2022, many rural counties lacked any medication-assisted treatment providers.</w:t>
      </w:r>
    </w:p>
    <w:p w14:paraId="7EE600A6" w14:textId="77777777" w:rsidR="002E7439" w:rsidRDefault="00BB36EA">
      <w:r>
        <w:t xml:space="preserve">Workforce pipeline constraints compound current shortages. Training programs concentrate in urban areas, and providers trained in urban settings often lack preparation for rural practice realities. </w:t>
      </w:r>
      <w:r>
        <w:rPr>
          <w:rStyle w:val="Emphasis"/>
        </w:rPr>
        <w:t>Recruitment and retention challenges</w:t>
      </w:r>
      <w:r>
        <w:t xml:space="preserve"> persist even when positions are funded. Rural behavioral health providers report higher burnout rates, heavier caseloads, and professional isolation contributing to turnover that exceeds urban rates.</w:t>
      </w:r>
    </w:p>
    <w:p w14:paraId="58B3CF6C" w14:textId="77777777" w:rsidR="002E7439" w:rsidRDefault="00BB36EA">
      <w:pPr>
        <w:pStyle w:val="Heading1"/>
      </w:pPr>
      <w:bookmarkStart w:id="4" w:name="Xc43a9edda0c6d45fc5ea3fba6e1bb831281cdab"/>
      <w:bookmarkEnd w:id="3"/>
      <w:r>
        <w:t>Alternative Perspective: The Limits of Medicalization</w:t>
      </w:r>
    </w:p>
    <w:p w14:paraId="05294A77" w14:textId="77777777" w:rsidR="002E7439" w:rsidRDefault="00BB36EA">
      <w:r>
        <w:t xml:space="preserve">Critics of the clinical framing argue that </w:t>
      </w:r>
      <w:r>
        <w:rPr>
          <w:rStyle w:val="Emphasis"/>
        </w:rPr>
        <w:t>medicalizing despair obscures political and economic causes.</w:t>
      </w:r>
      <w:r>
        <w:t xml:space="preserve"> When suicide is framed as depression requiring treatment, the social conditions producing depression escape scrutiny. When addiction is framed as a brain disease requiring medication, the circumstances making drugs appealing go unaddressed. Clinical language transforms structural problems into individual pathology.</w:t>
      </w:r>
    </w:p>
    <w:p w14:paraId="1C1A5DBF" w14:textId="77777777" w:rsidR="002E7439" w:rsidRDefault="00BB36EA">
      <w:r>
        <w:lastRenderedPageBreak/>
        <w:t xml:space="preserve">This critique has historical resonance. Soviet psychiatry famously pathologized political dissent, diagnosing critics of the regime with mental disorders. While American psychiatry operates differently, the concern about </w:t>
      </w:r>
      <w:r>
        <w:rPr>
          <w:rStyle w:val="Emphasis"/>
        </w:rPr>
        <w:t>depoliticizing legitimate grievances</w:t>
      </w:r>
      <w:r>
        <w:t xml:space="preserve"> remains relevant. If rural Americans feel their communities have been abandoned by economic policy, their anger and despair may be appropriate responses to real circumstances rather than symptoms requiring treatment.</w:t>
      </w:r>
    </w:p>
    <w:p w14:paraId="3A8B29CD" w14:textId="77777777" w:rsidR="002E7439" w:rsidRDefault="00BB36EA">
      <w:r>
        <w:t xml:space="preserve">Research on deaths of despair has not resolved this tension. Studies find </w:t>
      </w:r>
      <w:r>
        <w:rPr>
          <w:rStyle w:val="Emphasis"/>
        </w:rPr>
        <w:t>economic conditions explain perhaps 10% of the variation</w:t>
      </w:r>
      <w:r>
        <w:t xml:space="preserve"> in drug overdose mortality over recent decades. This suggests something beyond economics drives the epidemic, but that 10% represents thousands of deaths that economic policy could potentially address. Meanwhile, mental health treatment clearly saves individual lives even when population trends continue upward.</w:t>
      </w:r>
    </w:p>
    <w:p w14:paraId="07CF66E8" w14:textId="77777777" w:rsidR="002E7439" w:rsidRDefault="00BB36EA">
      <w:r>
        <w:t xml:space="preserve">The most honest assessment acknowledges that </w:t>
      </w:r>
      <w:r>
        <w:rPr>
          <w:rStyle w:val="Emphasis"/>
        </w:rPr>
        <w:t>both interpretations have merit, and neither offers complete solutions.</w:t>
      </w:r>
      <w:r>
        <w:t xml:space="preserve"> Clinical services help individuals navigate difficult circumstances and should be expanded. But behavioral health transformation cannot restore the economic foundation, community institutions, and sense of purpose that provide reasons to stay alive. RHTP investments in behavioral health will provide genuine value while leaving the underlying epidemic incompletely addressed.</w:t>
      </w:r>
    </w:p>
    <w:p w14:paraId="3AAB860F" w14:textId="77777777" w:rsidR="002E7439" w:rsidRDefault="00BB36EA">
      <w:pPr>
        <w:pStyle w:val="Heading1"/>
      </w:pPr>
      <w:bookmarkStart w:id="5" w:name="transformation-implications"/>
      <w:bookmarkEnd w:id="4"/>
      <w:r>
        <w:t>Transformation Implications</w:t>
      </w:r>
    </w:p>
    <w:p w14:paraId="6142B4A1" w14:textId="77777777" w:rsidR="002E7439" w:rsidRDefault="00BB36EA">
      <w:r>
        <w:t xml:space="preserve">RHTP funding for behavioral health integration, workforce development, and telehealth expansion will improve care for rural Americans with mental health and substance use conditions. </w:t>
      </w:r>
      <w:r>
        <w:rPr>
          <w:rStyle w:val="Emphasis"/>
        </w:rPr>
        <w:t>Evidence strongly supports collaborative care models</w:t>
      </w:r>
      <w:r>
        <w:t>, crisis stabilization services, and medication-assisted treatment for opioid use disorder. States implementing these approaches should see improved treatment outcomes and quality of life for individuals receiving care.</w:t>
      </w:r>
    </w:p>
    <w:p w14:paraId="571873C1" w14:textId="77777777" w:rsidR="002E7439" w:rsidRDefault="00BB36EA">
      <w:r>
        <w:t xml:space="preserve">However, policymakers and planners should maintain realistic expectations. </w:t>
      </w:r>
      <w:r>
        <w:rPr>
          <w:rStyle w:val="Emphasis"/>
        </w:rPr>
        <w:t>Deaths of despair have continued rising despite substantial behavioral health investments</w:t>
      </w:r>
      <w:r>
        <w:t xml:space="preserve"> over two decades. The Affordable Care Act expanded mental health coverage. Medicaid expansion increased behavioral health access in adopting states. The Mental Health Parity and Addiction Equity Act required insurance coverage. Each intervention helped without reversing mortality trends.</w:t>
      </w:r>
    </w:p>
    <w:p w14:paraId="601DA933" w14:textId="77777777" w:rsidR="002E7439" w:rsidRDefault="00BB36EA">
      <w:r>
        <w:t>This pattern suggests either the scale of clinical intervention remains insufficient or the problem extends beyond clinical reach. Both explanations likely contain truth. Rural behavioral health systems remain undersupplied and undertrained for the burden they face. Simultaneously, clinical systems cannot address job loss, community decline, or eroding social capital.</w:t>
      </w:r>
    </w:p>
    <w:p w14:paraId="6CF0ED8E" w14:textId="77777777" w:rsidR="002E7439" w:rsidRDefault="00BB36EA">
      <w:r>
        <w:rPr>
          <w:rStyle w:val="Emphasis"/>
        </w:rPr>
        <w:t>Transformation planning should pursue behavioral health integration vigorously while acknowledging its limits.</w:t>
      </w:r>
      <w:r>
        <w:t xml:space="preserve"> Improved mental health services will not restore the economic base of communities built on industries that no longer exist. Crisis intervention will not create the marriages, friendships, and community ties that provide reasons to live. Treatment programs will not give people purposes their environment denies them.</w:t>
      </w:r>
    </w:p>
    <w:p w14:paraId="71D64D3B" w14:textId="77777777" w:rsidR="002E7439" w:rsidRDefault="00BB36EA">
      <w:pPr>
        <w:pStyle w:val="Heading1"/>
      </w:pPr>
      <w:bookmarkStart w:id="6" w:name="conclusion"/>
      <w:bookmarkEnd w:id="5"/>
      <w:r>
        <w:t>Conclusion</w:t>
      </w:r>
    </w:p>
    <w:p w14:paraId="455DB8F5" w14:textId="77777777" w:rsidR="002E7439" w:rsidRDefault="00BB36EA">
      <w:r>
        <w:t>Rural America’s mental health crisis is simultaneously a clinical challenge requiring expanded services and a structural crisis requiring interventions beyond healthcare’s scope. The evidence supports both interpretations because both capture partial truths about why rural Americans are dying from suicide, overdose, and alcoholic liver disease at unprecedented rates.</w:t>
      </w:r>
    </w:p>
    <w:p w14:paraId="378D77D4" w14:textId="77777777" w:rsidR="002E7439" w:rsidRDefault="00BB36EA">
      <w:r>
        <w:rPr>
          <w:rStyle w:val="Emphasis"/>
        </w:rPr>
        <w:t>RHTP behavioral health investments represent necessary but insufficient responses.</w:t>
      </w:r>
      <w:r>
        <w:t xml:space="preserve"> States should implement collaborative care, expand telehealth, develop workforce pipelines, and integrate addiction treatment into healthcare settings. These investments will help thousands of individuals receive care they currently cannot access. But transformation planners should not expect clinical intervention alone to reverse mortality trends driven by decades of economic and social deterioration.</w:t>
      </w:r>
    </w:p>
    <w:p w14:paraId="493ADE46" w14:textId="77777777" w:rsidR="002E7439" w:rsidRDefault="00BB36EA">
      <w:r>
        <w:lastRenderedPageBreak/>
        <w:t xml:space="preserve">The honest assessment is uncomfortable: </w:t>
      </w:r>
      <w:r>
        <w:rPr>
          <w:rStyle w:val="Emphasis"/>
        </w:rPr>
        <w:t>we know how to help individuals without knowing how to heal communities.</w:t>
      </w:r>
      <w:r>
        <w:t xml:space="preserve"> Mental health treatment is a genuine good that will improve lives. It is not a substitute for the economic and social policies that would address why so many rural Americans find life unbearable.</w:t>
      </w:r>
    </w:p>
    <w:p w14:paraId="726E1099" w14:textId="77777777" w:rsidR="002E7439" w:rsidRDefault="00BB36EA">
      <w:pPr>
        <w:pStyle w:val="Heading1"/>
      </w:pPr>
      <w:bookmarkStart w:id="7" w:name="cross-references"/>
      <w:bookmarkEnd w:id="6"/>
      <w:r>
        <w:t>Cross-References</w:t>
      </w:r>
    </w:p>
    <w:p w14:paraId="037FB060" w14:textId="77777777" w:rsidR="002E7439" w:rsidRDefault="00BB36EA">
      <w:r>
        <w:rPr>
          <w:rStyle w:val="Emphasis"/>
        </w:rPr>
        <w:t>4G Behavioral Health Integration:</w:t>
      </w:r>
      <w:r>
        <w:t xml:space="preserve"> Evidence base for collaborative care models and implementation requirements for rural primary care settings.</w:t>
      </w:r>
    </w:p>
    <w:p w14:paraId="549E10D7" w14:textId="77777777" w:rsidR="002E7439" w:rsidRDefault="00BB36EA">
      <w:r>
        <w:rPr>
          <w:rStyle w:val="Emphasis"/>
        </w:rPr>
        <w:t>9M Substance Use Disorder:</w:t>
      </w:r>
      <w:r>
        <w:t xml:space="preserve"> Population-specific analysis of rural SUD, treatment barriers, and intervention strategies.</w:t>
      </w:r>
    </w:p>
    <w:p w14:paraId="4EF8EA43" w14:textId="77777777" w:rsidR="002E7439" w:rsidRDefault="00BB36EA">
      <w:r>
        <w:rPr>
          <w:rStyle w:val="Emphasis"/>
        </w:rPr>
        <w:t>9N Serious Mental Illness:</w:t>
      </w:r>
      <w:r>
        <w:t xml:space="preserve"> Detailed examination of SMI in rural settings, including workforce requirements and continuity challenges.</w:t>
      </w:r>
    </w:p>
    <w:p w14:paraId="3E3FE43B" w14:textId="77777777" w:rsidR="002E7439" w:rsidRDefault="00BB36EA">
      <w:r>
        <w:rPr>
          <w:rStyle w:val="Emphasis"/>
        </w:rPr>
        <w:t>1I Belief Systems:</w:t>
      </w:r>
      <w:r>
        <w:t xml:space="preserve"> Cultural factors affecting mental health help-seeking, stigma patterns, and community attitudes toward behavioral health treatment.</w:t>
      </w:r>
    </w:p>
    <w:p w14:paraId="342387BF" w14:textId="77777777" w:rsidR="002E7439" w:rsidRDefault="00BB36EA">
      <w:r>
        <w:rPr>
          <w:rStyle w:val="Emphasis"/>
        </w:rPr>
        <w:t>10A Appalachian Mountains:</w:t>
      </w:r>
      <w:r>
        <w:t xml:space="preserve"> Regional analysis of deaths of despair concentration, including economic history and intervention efforts.</w:t>
      </w:r>
    </w:p>
    <w:p w14:paraId="521B7BD5" w14:textId="77777777" w:rsidR="002E7439" w:rsidRDefault="00BB36EA">
      <w:pPr>
        <w:pStyle w:val="Heading1"/>
      </w:pPr>
      <w:bookmarkStart w:id="8" w:name="sources"/>
      <w:bookmarkEnd w:id="7"/>
      <w:r>
        <w:t>Sources</w:t>
      </w:r>
    </w:p>
    <w:p w14:paraId="036A853B" w14:textId="77777777" w:rsidR="002E7439" w:rsidRDefault="00BB36EA">
      <w:r>
        <w:t xml:space="preserve">Case, Anne, and Angus Deaton. “Rising Morbidity and Mortality in Midlife Among White Non-Hispanic Americans in the 21st Century.” </w:t>
      </w:r>
      <w:r>
        <w:rPr>
          <w:i/>
          <w:iCs/>
        </w:rPr>
        <w:t>Proceedings of the National Academy of Sciences</w:t>
      </w:r>
      <w:r>
        <w:t>, vol. 112, no. 49, 2015, pp. 15078-15083.</w:t>
      </w:r>
    </w:p>
    <w:p w14:paraId="2885DCA9" w14:textId="77777777" w:rsidR="002E7439" w:rsidRDefault="00BB36EA">
      <w:r>
        <w:t xml:space="preserve">Centers for Disease Control and Prevention. “Suicide Rates and Selected County-Level Factors, United States, 2022.” </w:t>
      </w:r>
      <w:r>
        <w:rPr>
          <w:i/>
          <w:iCs/>
        </w:rPr>
        <w:t>Morbidity and Mortality Weekly Report</w:t>
      </w:r>
      <w:r>
        <w:t>, vol. 73, no. 37, 2024.</w:t>
      </w:r>
    </w:p>
    <w:p w14:paraId="326F0A06" w14:textId="77777777" w:rsidR="002E7439" w:rsidRDefault="00BB36EA">
      <w:r>
        <w:t xml:space="preserve">Centers for Disease Control and Prevention. “Urban-Rural Differences in Suicide Rates, by Sex and Three Leading Methods.” </w:t>
      </w:r>
      <w:r>
        <w:rPr>
          <w:i/>
          <w:iCs/>
        </w:rPr>
        <w:t>NCHS Data Brief</w:t>
      </w:r>
      <w:r>
        <w:t>, no. 373, 2020.</w:t>
      </w:r>
    </w:p>
    <w:p w14:paraId="68E05EB8" w14:textId="77777777" w:rsidR="002E7439" w:rsidRDefault="00BB36EA">
      <w:r>
        <w:t>Commonwealth Fund. “Understanding the U.S. Behavioral Health Workforce Shortage.” May 2023, www.commonwealthfund.org/publications/explainer/2023/may/understanding-us-behavioral-health-workforce-shortage.</w:t>
      </w:r>
    </w:p>
    <w:p w14:paraId="029EB12F" w14:textId="77777777" w:rsidR="002E7439" w:rsidRDefault="00BB36EA">
      <w:r>
        <w:t>Health Resources and Services Administration. “Behavioral Health Workforce Brief 2023.” Bureau of Health Workforce, 2023.</w:t>
      </w:r>
    </w:p>
    <w:p w14:paraId="1D00009D" w14:textId="77777777" w:rsidR="002E7439" w:rsidRDefault="00BB36EA">
      <w:r>
        <w:t>Health Resources and Services Administration. “Health Workforce Projections: Behavioral Health.” 2024, bhw.hrsa.gov/data-research/projecting-health-workforce-supply-demand.</w:t>
      </w:r>
    </w:p>
    <w:p w14:paraId="242444C8" w14:textId="77777777" w:rsidR="002E7439" w:rsidRDefault="00BB36EA">
      <w:r>
        <w:t xml:space="preserve">Woolf, Steven H., and Heidi Schoomaker. “Life Expectancy and Mortality Rates in the United States, 1959-2017.” </w:t>
      </w:r>
      <w:r>
        <w:rPr>
          <w:i/>
          <w:iCs/>
        </w:rPr>
        <w:t>Journal of the American Medical Association</w:t>
      </w:r>
      <w:r>
        <w:t>, vol. 322, no. 20, 2019, pp. 1996-2016.</w:t>
      </w:r>
    </w:p>
    <w:p w14:paraId="1E6F6A8D" w14:textId="77777777" w:rsidR="002E7439" w:rsidRDefault="00BB36EA">
      <w:r>
        <w:t xml:space="preserve">Friedman, Joseph, and Helena Hansen. “Deaths of Despair and Indigenous Data Genocide.” </w:t>
      </w:r>
      <w:r>
        <w:rPr>
          <w:i/>
          <w:iCs/>
        </w:rPr>
        <w:t>The Lancet</w:t>
      </w:r>
      <w:r>
        <w:t>, vol. 403, no. 10440, 2024.</w:t>
      </w:r>
    </w:p>
    <w:bookmarkEnd w:id="8"/>
    <w:sectPr w:rsidR="002E7439">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D610A" w14:textId="77777777" w:rsidR="00BB36EA" w:rsidRDefault="00BB36EA">
      <w:pPr>
        <w:spacing w:before="0" w:line="240" w:lineRule="auto"/>
      </w:pPr>
      <w:r>
        <w:separator/>
      </w:r>
    </w:p>
  </w:endnote>
  <w:endnote w:type="continuationSeparator" w:id="0">
    <w:p w14:paraId="4F75AFB5" w14:textId="77777777" w:rsidR="00BB36EA" w:rsidRDefault="00BB36E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venir Next LT Pro">
    <w:altName w:val="Calibri"/>
    <w:charset w:val="00"/>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6AAE7" w14:textId="77777777" w:rsidR="00BB36EA" w:rsidRDefault="00BB36EA" w:rsidP="000F4A8A">
    <w:pPr>
      <w:pStyle w:val="Footer"/>
    </w:pPr>
    <w:r>
      <w:rPr>
        <w:noProof/>
        <w14:ligatures w14:val="standardContextual"/>
      </w:rPr>
      <mc:AlternateContent>
        <mc:Choice Requires="wps">
          <w:drawing>
            <wp:anchor distT="0" distB="0" distL="114300" distR="114300" simplePos="0" relativeHeight="251657216" behindDoc="0" locked="0" layoutInCell="1" allowOverlap="1" wp14:anchorId="2416F9D9" wp14:editId="54DAE18F">
              <wp:simplePos x="0" y="0"/>
              <wp:positionH relativeFrom="margin">
                <wp:align>right</wp:align>
              </wp:positionH>
              <wp:positionV relativeFrom="paragraph">
                <wp:posOffset>-56318</wp:posOffset>
              </wp:positionV>
              <wp:extent cx="5928303" cy="3399"/>
              <wp:effectExtent l="0" t="0" r="34925" b="34925"/>
              <wp:wrapNone/>
              <wp:docPr id="1330319518" name="Straight Connector 4"/>
              <wp:cNvGraphicFramePr/>
              <a:graphic xmlns:a="http://schemas.openxmlformats.org/drawingml/2006/main">
                <a:graphicData uri="http://schemas.microsoft.com/office/word/2010/wordprocessingShape">
                  <wps:wsp>
                    <wps:cNvCnPr/>
                    <wps:spPr>
                      <a:xfrm flipV="1">
                        <a:off x="0" y="0"/>
                        <a:ext cx="5928303" cy="339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57F177" id="Straight Connector 4" o:spid="_x0000_s1026" style="position:absolute;flip:y;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5.6pt,-4.45pt" to="882.4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" strokecolor="#156082 [3204]" strokeweight=".5pt">
              <v:stroke joinstyle="miter"/>
              <w10:wrap anchorx="margin"/>
            </v:line>
          </w:pict>
        </mc:Fallback>
      </mc:AlternateContent>
    </w:r>
    <w:r>
      <w:rPr>
        <w:noProof/>
      </w:rPr>
      <mc:AlternateContent>
        <mc:Choice Requires="wps">
          <w:drawing>
            <wp:anchor distT="45720" distB="45720" distL="114300" distR="114300" simplePos="0" relativeHeight="251658240" behindDoc="0" locked="0" layoutInCell="1" allowOverlap="1" wp14:anchorId="39B40326" wp14:editId="768430D3">
              <wp:simplePos x="0" y="0"/>
              <wp:positionH relativeFrom="margin">
                <wp:align>left</wp:align>
              </wp:positionH>
              <wp:positionV relativeFrom="paragraph">
                <wp:posOffset>-25726</wp:posOffset>
              </wp:positionV>
              <wp:extent cx="4538007" cy="237691"/>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8007" cy="237691"/>
                      </a:xfrm>
                      <a:prstGeom prst="rect">
                        <a:avLst/>
                      </a:prstGeom>
                      <a:solidFill>
                        <a:srgbClr val="FFFFFF"/>
                      </a:solidFill>
                      <a:ln w="9525">
                        <a:noFill/>
                        <a:miter lim="800000"/>
                        <a:headEnd/>
                        <a:tailEnd/>
                      </a:ln>
                    </wps:spPr>
                    <wps:txbx>
                      <w:txbxContent>
                        <w:p w14:paraId="4DD8F774" w14:textId="77777777" w:rsidR="00BB36EA" w:rsidRPr="00B31822" w:rsidRDefault="00BB36EA" w:rsidP="000F4A8A">
                          <w:pPr>
                            <w:pStyle w:val="Footer"/>
                            <w:ind w:left="-144"/>
                            <w:rPr>
                              <w:color w:val="156082" w:themeColor="accent1"/>
                              <w:lang w:val="fr-FR"/>
                            </w:rPr>
                          </w:pPr>
                          <w:r w:rsidRPr="00B31822">
                            <w:rPr>
                              <w:color w:val="156082" w:themeColor="accent1"/>
                              <w:lang w:val="fr-FR"/>
                            </w:rPr>
                            <w:t xml:space="preserve">2002 N. Lois Avenue, Suite 200, Tampa, FL 33607 | GroundGame.Health               </w:t>
                          </w:r>
                        </w:p>
                        <w:p w14:paraId="179A097D" w14:textId="77777777" w:rsidR="00BB36EA" w:rsidRPr="00B31822" w:rsidRDefault="00BB36EA" w:rsidP="000F4A8A">
                          <w:pPr>
                            <w:spacing w:before="0" w:line="240" w:lineRule="auto"/>
                            <w:ind w:left="-144"/>
                            <w:rPr>
                              <w:color w:val="156082" w:themeColor="accen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B40326" id="_x0000_t202" coordsize="21600,21600" o:spt="202" path="m,l,21600r21600,l21600,xe">
              <v:stroke joinstyle="miter"/>
              <v:path gradientshapeok="t" o:connecttype="rect"/>
            </v:shapetype>
            <v:shape id="_x0000_s1032" type="#_x0000_t202" style="position:absolute;margin-left:0;margin-top:-2.05pt;width:357.3pt;height:18.7pt;z-index:2516582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" stroked="f">
              <v:textbox>
                <w:txbxContent>
                  <w:p w14:paraId="4DD8F774" w14:textId="77777777" w:rsidR="00BB36EA" w:rsidRPr="00B31822" w:rsidRDefault="00BB36EA" w:rsidP="000F4A8A">
                    <w:pPr>
                      <w:pStyle w:val="Footer"/>
                      <w:ind w:left="-144"/>
                      <w:rPr>
                        <w:color w:val="156082" w:themeColor="accent1"/>
                        <w:lang w:val="fr-FR"/>
                      </w:rPr>
                    </w:pPr>
                    <w:r w:rsidRPr="00B31822">
                      <w:rPr>
                        <w:color w:val="156082" w:themeColor="accent1"/>
                        <w:lang w:val="fr-FR"/>
                      </w:rPr>
                      <w:t xml:space="preserve">2002 N. Lois Avenue, Suite 200, Tampa, FL 33607 | GroundGame.Health               </w:t>
                    </w:r>
                  </w:p>
                  <w:p w14:paraId="179A097D" w14:textId="77777777" w:rsidR="00BB36EA" w:rsidRPr="00B31822" w:rsidRDefault="00BB36EA" w:rsidP="000F4A8A">
                    <w:pPr>
                      <w:spacing w:before="0" w:line="240" w:lineRule="auto"/>
                      <w:ind w:left="-144"/>
                      <w:rPr>
                        <w:color w:val="156082" w:themeColor="accent1"/>
                      </w:rPr>
                    </w:pPr>
                  </w:p>
                </w:txbxContent>
              </v:textbox>
              <w10:wrap anchorx="margin"/>
            </v:shape>
          </w:pict>
        </mc:Fallback>
      </mc:AlternateContent>
    </w:r>
    <w:r>
      <w:tab/>
    </w:r>
    <w:r>
      <w:tab/>
    </w:r>
  </w:p>
  <w:p w14:paraId="73A72287" w14:textId="77777777" w:rsidR="00BB36EA" w:rsidRPr="00E71036" w:rsidRDefault="00BB36EA" w:rsidP="000F4A8A">
    <w:pPr>
      <w:pStyle w:val="Footer"/>
      <w:jc w:val="right"/>
      <w:rPr>
        <w:i/>
        <w:iCs/>
        <w:sz w:val="16"/>
        <w:szCs w:val="16"/>
      </w:rPr>
    </w:pPr>
    <w:r>
      <w:rPr>
        <w:noProof/>
      </w:rPr>
      <mc:AlternateContent>
        <mc:Choice Requires="wps">
          <w:drawing>
            <wp:anchor distT="45720" distB="45720" distL="114300" distR="114300" simplePos="0" relativeHeight="251659264" behindDoc="0" locked="0" layoutInCell="1" allowOverlap="1" wp14:anchorId="44EDD346" wp14:editId="4669BCC8">
              <wp:simplePos x="0" y="0"/>
              <wp:positionH relativeFrom="margin">
                <wp:align>right</wp:align>
              </wp:positionH>
              <wp:positionV relativeFrom="paragraph">
                <wp:posOffset>96745</wp:posOffset>
              </wp:positionV>
              <wp:extent cx="4129405" cy="253584"/>
              <wp:effectExtent l="0" t="0" r="0" b="0"/>
              <wp:wrapNone/>
              <wp:docPr id="18688810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9405" cy="253584"/>
                      </a:xfrm>
                      <a:prstGeom prst="rect">
                        <a:avLst/>
                      </a:prstGeom>
                      <a:noFill/>
                      <a:ln w="9525">
                        <a:noFill/>
                        <a:miter lim="800000"/>
                        <a:headEnd/>
                        <a:tailEnd/>
                      </a:ln>
                    </wps:spPr>
                    <wps:txbx>
                      <w:txbxContent>
                        <w:p w14:paraId="1B43F1F2" w14:textId="77777777" w:rsidR="00BB36EA" w:rsidRPr="00046EE7" w:rsidRDefault="00BB36EA" w:rsidP="000F4A8A">
                          <w:pPr>
                            <w:spacing w:before="0" w:line="240" w:lineRule="auto"/>
                            <w:jc w:val="right"/>
                            <w:rPr>
                              <w:i/>
                              <w:iCs/>
                              <w:szCs w:val="20"/>
                            </w:rPr>
                          </w:pPr>
                          <w:r w:rsidRPr="00B07560">
                            <w:t>Syam Adusumilli,</w:t>
                          </w:r>
                          <w:r>
                            <w:t xml:space="preserve"> </w:t>
                          </w:r>
                          <w:r w:rsidRPr="00B07560">
                            <w:t>Chief</w:t>
                          </w:r>
                          <w:r>
                            <w:t xml:space="preserve"> E</w:t>
                          </w:r>
                          <w:r w:rsidRPr="00B07560">
                            <w:t>vangelist</w:t>
                          </w:r>
                          <w:r>
                            <w:t xml:space="preserve">, </w:t>
                          </w:r>
                          <w:r>
                            <w:rPr>
                              <w:i/>
                              <w:iCs/>
                              <w:szCs w:val="20"/>
                            </w:rPr>
                            <w:t>s</w:t>
                          </w:r>
                          <w:r w:rsidRPr="00046EE7">
                            <w:rPr>
                              <w:i/>
                              <w:iCs/>
                              <w:szCs w:val="20"/>
                            </w:rPr>
                            <w:t>yam.a@groundgame.health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EDD346" id="_x0000_s1033" type="#_x0000_t202" style="position:absolute;left:0;text-align:left;margin-left:273.95pt;margin-top:7.6pt;width:325.15pt;height:19.9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" filled="f" stroked="f">
              <v:textbox>
                <w:txbxContent>
                  <w:p w14:paraId="1B43F1F2" w14:textId="77777777" w:rsidR="00BB36EA" w:rsidRPr="00046EE7" w:rsidRDefault="00BB36EA" w:rsidP="000F4A8A">
                    <w:pPr>
                      <w:spacing w:before="0" w:line="240" w:lineRule="auto"/>
                      <w:jc w:val="right"/>
                      <w:rPr>
                        <w:i/>
                        <w:iCs/>
                        <w:szCs w:val="20"/>
                      </w:rPr>
                    </w:pPr>
                    <w:r w:rsidRPr="00B07560">
                      <w:t>Syam Adusumilli,</w:t>
                    </w:r>
                    <w:r>
                      <w:t xml:space="preserve"> </w:t>
                    </w:r>
                    <w:r w:rsidRPr="00B07560">
                      <w:t>Chief</w:t>
                    </w:r>
                    <w:r>
                      <w:t xml:space="preserve"> E</w:t>
                    </w:r>
                    <w:r w:rsidRPr="00B07560">
                      <w:t>vangelist</w:t>
                    </w:r>
                    <w:r>
                      <w:t xml:space="preserve">, </w:t>
                    </w:r>
                    <w:r>
                      <w:rPr>
                        <w:i/>
                        <w:iCs/>
                        <w:szCs w:val="20"/>
                      </w:rPr>
                      <w:t>s</w:t>
                    </w:r>
                    <w:r w:rsidRPr="00046EE7">
                      <w:rPr>
                        <w:i/>
                        <w:iCs/>
                        <w:szCs w:val="20"/>
                      </w:rPr>
                      <w:t>yam.a@groundgame.health</w:t>
                    </w:r>
                  </w:p>
                </w:txbxContent>
              </v:textbox>
              <w10:wrap anchorx="margin"/>
            </v:shape>
          </w:pict>
        </mc:Fallback>
      </mc:AlternateContent>
    </w:r>
  </w:p>
  <w:p w14:paraId="6DE4813D" w14:textId="77777777" w:rsidR="00BB36EA" w:rsidRPr="006D16AB" w:rsidRDefault="00BB36EA" w:rsidP="006D16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9A05F" w14:textId="77777777" w:rsidR="002E7439" w:rsidRDefault="00BB36EA">
      <w:r>
        <w:separator/>
      </w:r>
    </w:p>
  </w:footnote>
  <w:footnote w:type="continuationSeparator" w:id="0">
    <w:p w14:paraId="278468BF" w14:textId="77777777" w:rsidR="002E7439" w:rsidRDefault="00BB36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DFEB8" w14:textId="77777777" w:rsidR="00BB36EA" w:rsidRDefault="00BB36EA">
    <w:pPr>
      <w:pStyle w:val="Header"/>
    </w:pPr>
    <w:r>
      <w:rPr>
        <w:noProof/>
      </w:rPr>
      <mc:AlternateContent>
        <mc:Choice Requires="wps">
          <w:drawing>
            <wp:anchor distT="45720" distB="45720" distL="114300" distR="114300" simplePos="0" relativeHeight="251656192" behindDoc="0" locked="0" layoutInCell="1" allowOverlap="1" wp14:anchorId="6EA4F216" wp14:editId="1CDF87CE">
              <wp:simplePos x="0" y="0"/>
              <wp:positionH relativeFrom="margin">
                <wp:posOffset>-57329</wp:posOffset>
              </wp:positionH>
              <wp:positionV relativeFrom="paragraph">
                <wp:posOffset>-227883</wp:posOffset>
              </wp:positionV>
              <wp:extent cx="4675192" cy="690044"/>
              <wp:effectExtent l="0" t="0" r="0" b="0"/>
              <wp:wrapNone/>
              <wp:docPr id="8306903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5192" cy="690044"/>
                      </a:xfrm>
                      <a:prstGeom prst="rect">
                        <a:avLst/>
                      </a:prstGeom>
                      <a:solidFill>
                        <a:srgbClr val="FFFFFF"/>
                      </a:solidFill>
                      <a:ln w="9525">
                        <a:noFill/>
                        <a:miter lim="800000"/>
                        <a:headEnd/>
                        <a:tailEnd/>
                      </a:ln>
                    </wps:spPr>
                    <wps:txbx>
                      <w:txbxContent>
                        <w:p w14:paraId="169597A4" w14:textId="77777777" w:rsidR="002E7439" w:rsidRDefault="00BB36EA">
                          <w:pPr>
                            <w:pStyle w:val="Title"/>
                            <w:rPr>
                              <w:rFonts w:ascii="Aptos Display" w:hAnsi="Aptos Display"/>
                              <w:sz w:val="22"/>
                              <w:szCs w:val="22"/>
                            </w:rPr>
                          </w:pPr>
                          <w:r>
                            <w:rPr>
                              <w:rFonts w:ascii="Aptos Display" w:hAnsi="Aptos Display"/>
                              <w:sz w:val="22"/>
                              <w:szCs w:val="22"/>
                            </w:rPr>
                            <w:t>RHTP 11.C:</w:t>
                          </w:r>
                        </w:p>
                        <w:p w14:paraId="03E72A73" w14:textId="77777777" w:rsidR="002E7439" w:rsidRDefault="00BB36EA">
                          <w:pPr>
                            <w:pStyle w:val="Title"/>
                            <w:rPr>
                              <w:rFonts w:ascii="Aptos Display" w:hAnsi="Aptos Display"/>
                              <w:sz w:val="28"/>
                              <w:szCs w:val="28"/>
                            </w:rPr>
                          </w:pPr>
                          <w:r>
                            <w:rPr>
                              <w:rFonts w:ascii="Aptos Display" w:hAnsi="Aptos Display"/>
                              <w:sz w:val="28"/>
                              <w:szCs w:val="28"/>
                            </w:rPr>
                            <w:t>Mental Health and Despair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A4F216" id="_x0000_t202" coordsize="21600,21600" o:spt="202" path="m,l,21600r21600,l21600,xe">
              <v:stroke joinstyle="miter"/>
              <v:path gradientshapeok="t" o:connecttype="rect"/>
            </v:shapetype>
            <v:shape id="Text Box 2" o:spid="_x0000_s1026" type="#_x0000_t202" style="position:absolute;margin-left:-4.5pt;margin-top:-17.95pt;width:368.15pt;height:54.35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" stroked="f">
              <v:textbox>
                <w:txbxContent>
                  <w:p w14:paraId="169597A4" w14:textId="77777777" w:rsidR="002E7439" w:rsidRDefault="00BB36EA">
                    <w:pPr>
                      <w:pStyle w:val="Title"/>
                      <w:rPr>
                        <w:rFonts w:ascii="Aptos Display" w:hAnsi="Aptos Display"/>
                        <w:sz w:val="22"/>
                        <w:szCs w:val="22"/>
                      </w:rPr>
                    </w:pPr>
                    <w:r>
                      <w:rPr>
                        <w:rFonts w:ascii="Aptos Display" w:hAnsi="Aptos Display"/>
                        <w:sz w:val="22"/>
                        <w:szCs w:val="22"/>
                      </w:rPr>
                      <w:t>RHTP 11.C:</w:t>
                    </w:r>
                  </w:p>
                  <w:p w14:paraId="03E72A73" w14:textId="77777777" w:rsidR="002E7439" w:rsidRDefault="00BB36EA">
                    <w:pPr>
                      <w:pStyle w:val="Title"/>
                      <w:rPr>
                        <w:rFonts w:ascii="Aptos Display" w:hAnsi="Aptos Display"/>
                        <w:sz w:val="28"/>
                        <w:szCs w:val="28"/>
                      </w:rPr>
                    </w:pPr>
                    <w:r>
                      <w:rPr>
                        <w:rFonts w:ascii="Aptos Display" w:hAnsi="Aptos Display"/>
                        <w:sz w:val="28"/>
                        <w:szCs w:val="28"/>
                      </w:rPr>
                      <w:t>Mental Health and Despair</w:t>
                    </w:r>
                  </w:p>
                </w:txbxContent>
              </v:textbox>
              <w10:wrap anchorx="margin"/>
            </v:shape>
          </w:pict>
        </mc:Fallback>
      </mc:AlternateContent>
    </w:r>
    <w:r>
      <w:rPr>
        <w:noProof/>
      </w:rPr>
      <w:drawing>
        <wp:anchor distT="0" distB="0" distL="114300" distR="114300" simplePos="0" relativeHeight="251660288" behindDoc="0" locked="0" layoutInCell="1" allowOverlap="1" wp14:anchorId="3F1AD434" wp14:editId="617C216A">
          <wp:simplePos x="0" y="0"/>
          <wp:positionH relativeFrom="margin">
            <wp:posOffset>4598984</wp:posOffset>
          </wp:positionH>
          <wp:positionV relativeFrom="paragraph">
            <wp:posOffset>55896</wp:posOffset>
          </wp:positionV>
          <wp:extent cx="1488387" cy="377940"/>
          <wp:effectExtent l="0" t="0" r="0" b="3175"/>
          <wp:wrapNone/>
          <wp:docPr id="599323403" name="Picture 2"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23403" name="Picture 2"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499462" cy="380752"/>
                  </a:xfrm>
                  <a:prstGeom prst="rect">
                    <a:avLst/>
                  </a:prstGeom>
                </pic:spPr>
              </pic:pic>
            </a:graphicData>
          </a:graphic>
          <wp14:sizeRelH relativeFrom="margin">
            <wp14:pctWidth>0</wp14:pctWidth>
          </wp14:sizeRelH>
          <wp14:sizeRelV relativeFrom="margin">
            <wp14:pctHeight>0</wp14:pctHeight>
          </wp14:sizeRelV>
        </wp:anchor>
      </w:drawing>
    </w:r>
    <w:sdt>
      <w:sdtPr>
        <w:id w:val="-1536042918"/>
        <w:docPartObj>
          <w:docPartGallery w:val="Page Numbers (Top of Page)"/>
          <w:docPartUnique/>
        </w:docPartObj>
      </w:sdtPr>
      <w:sdtEndPr/>
      <w:sdtContent>
        <w:r>
          <w:rPr>
            <w:noProof/>
          </w:rPr>
          <mc:AlternateContent>
            <mc:Choice Requires="wpg">
              <w:drawing>
                <wp:anchor distT="0" distB="0" distL="114300" distR="114300" simplePos="0" relativeHeight="251655168" behindDoc="0" locked="0" layoutInCell="0" allowOverlap="1" wp14:anchorId="5E55B916" wp14:editId="5571752B">
                  <wp:simplePos x="0" y="0"/>
                  <wp:positionH relativeFrom="rightMargin">
                    <wp:align>left</wp:align>
                  </wp:positionH>
                  <wp:positionV relativeFrom="margin">
                    <wp:align>top</wp:align>
                  </wp:positionV>
                  <wp:extent cx="902335" cy="1902460"/>
                  <wp:effectExtent l="0" t="9525" r="12065" b="2540"/>
                  <wp:wrapNone/>
                  <wp:docPr id="164101715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902335" cy="1902460"/>
                            <a:chOff x="13" y="11415"/>
                            <a:chExt cx="1425" cy="2996"/>
                          </a:xfrm>
                        </wpg:grpSpPr>
                        <wpg:grpSp>
                          <wpg:cNvPr id="1600616591" name="Group 7"/>
                          <wpg:cNvGrpSpPr>
                            <a:grpSpLocks/>
                          </wpg:cNvGrpSpPr>
                          <wpg:grpSpPr bwMode="auto">
                            <a:xfrm flipV="1">
                              <a:off x="13" y="14340"/>
                              <a:ext cx="1410" cy="71"/>
                              <a:chOff x="-83" y="540"/>
                              <a:chExt cx="1218" cy="71"/>
                            </a:xfrm>
                          </wpg:grpSpPr>
                          <wps:wsp>
                            <wps:cNvPr id="1820961130"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440951311"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972406835"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B2F39E" w14:textId="77777777" w:rsidR="00BB36EA" w:rsidRDefault="00BB36EA">
                                <w:pPr>
                                  <w:pStyle w:val="NoSpacing"/>
                                  <w:jc w:val="right"/>
                                </w:pPr>
                                <w:r>
                                  <w:fldChar w:fldCharType="begin"/>
                                </w:r>
                                <w:r>
                                  <w:instrText xml:space="preserve"> PAGE    \* MERGEFORMAT </w:instrText>
                                </w:r>
                                <w:r>
                                  <w:fldChar w:fldCharType="separate"/>
                                </w:r>
                                <w:r>
                                  <w:rPr>
                                    <w:b/>
                                    <w:bCs/>
                                    <w:noProof/>
                                    <w:color w:val="0B769F" w:themeColor="accent4" w:themeShade="BF"/>
                                    <w:sz w:val="52"/>
                                    <w:szCs w:val="52"/>
                                  </w:rPr>
                                  <w:t>2</w:t>
                                </w:r>
                                <w:r>
                                  <w:rPr>
                                    <w:b/>
                                    <w:bCs/>
                                    <w:noProof/>
                                    <w:color w:val="0B769F" w:themeColor="accent4" w:themeShade="BF"/>
                                    <w:sz w:val="52"/>
                                    <w:szCs w:val="52"/>
                                  </w:rPr>
                                  <w:fldChar w:fldCharType="end"/>
                                </w:r>
                              </w:p>
                            </w:txbxContent>
                          </wps:txbx>
                          <wps:bodyPr rot="0" vert="vert270" wrap="square" lIns="0" tIns="0" rIns="0" bIns="0" anchor="t" anchorCtr="0" upright="1">
                            <a:noAutofit/>
                          </wps:bodyPr>
                        </wps:wsp>
                      </wpg:wgp>
                    </a:graphicData>
                  </a:graphic>
                  <wp14:sizeRelH relativeFrom="leftMargin">
                    <wp14:pctWidth>100000</wp14:pctWidth>
                  </wp14:sizeRelH>
                  <wp14:sizeRelV relativeFrom="page">
                    <wp14:pctHeight>0</wp14:pctHeight>
                  </wp14:sizeRelV>
                </wp:anchor>
              </w:drawing>
            </mc:Choice>
            <mc:Fallback>
              <w:pict>
                <v:group w14:anchorId="5E55B916" id="Group 1" o:spid="_x0000_s1027" style="position:absolute;margin-left:0;margin-top:0;width:71.05pt;height:149.8pt;flip:x y;z-index:251655168;mso-width-percent:1000;mso-position-horizontal:left;mso-position-horizontal-relative:right-margin-area;mso-position-vertical:top;mso-position-vertical-relative:margin;mso-width-percent:1000;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" o:allowincell="f">
                  <v:group id="Group 7" o:spid="_x0000_s1028"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">
                    <v:rect id="Rectangle 8" o:spid="_x0000_s1029"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" fillcolor="#5f497a" strokecolor="#5f497a"/>
                    <v:shapetype id="_x0000_t32" coordsize="21600,21600" o:spt="32" o:oned="t" path="m,l21600,21600e" filled="f">
                      <v:path arrowok="t" fillok="f" o:connecttype="none"/>
                      <o:lock v:ext="edit" shapetype="t"/>
                    </v:shapetype>
                    <v:shape id="AutoShape 9" o:spid="_x0000_s1030"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" strokecolor="#5f497a"/>
                  </v:group>
                  <v:rect id="Rectangle 10" o:spid="_x0000_s1031"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" stroked="f">
                    <v:textbox style="layout-flow:vertical;mso-layout-flow-alt:bottom-to-top" inset="0,0,0,0">
                      <w:txbxContent>
                        <w:p w14:paraId="77B2F39E" w14:textId="77777777" w:rsidR="00BB36EA" w:rsidRDefault="00BB36EA">
                          <w:pPr>
                            <w:pStyle w:val="NoSpacing"/>
                            <w:jc w:val="right"/>
                          </w:pPr>
                          <w:r>
                            <w:fldChar w:fldCharType="begin"/>
                          </w:r>
                          <w:r>
                            <w:instrText xml:space="preserve"> PAGE    \* MERGEFORMAT </w:instrText>
                          </w:r>
                          <w:r>
                            <w:fldChar w:fldCharType="separate"/>
                          </w:r>
                          <w:r>
                            <w:rPr>
                              <w:b/>
                              <w:bCs/>
                              <w:noProof/>
                              <w:color w:val="0B769F" w:themeColor="accent4" w:themeShade="BF"/>
                              <w:sz w:val="52"/>
                              <w:szCs w:val="52"/>
                            </w:rPr>
                            <w:t>2</w:t>
                          </w:r>
                          <w:r>
                            <w:rPr>
                              <w:b/>
                              <w:bCs/>
                              <w:noProof/>
                              <w:color w:val="0B769F" w:themeColor="accent4" w:themeShade="BF"/>
                              <w:sz w:val="52"/>
                              <w:szCs w:val="52"/>
                            </w:rPr>
                            <w:fldChar w:fldCharType="end"/>
                          </w:r>
                        </w:p>
                      </w:txbxContent>
                    </v:textbox>
                  </v:rect>
                  <w10:wrap anchorx="margin" anchory="margin"/>
                </v:group>
              </w:pict>
            </mc:Fallback>
          </mc:AlternateConten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2EC214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5EC6D8C"/>
    <w:multiLevelType w:val="multilevel"/>
    <w:tmpl w:val="C10A1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A85140"/>
    <w:multiLevelType w:val="multilevel"/>
    <w:tmpl w:val="86A86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5A2656"/>
    <w:multiLevelType w:val="multilevel"/>
    <w:tmpl w:val="EF70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8711D"/>
    <w:multiLevelType w:val="multilevel"/>
    <w:tmpl w:val="47F2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1737E"/>
    <w:multiLevelType w:val="multilevel"/>
    <w:tmpl w:val="D786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46BEA"/>
    <w:multiLevelType w:val="multilevel"/>
    <w:tmpl w:val="62A2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0067E"/>
    <w:multiLevelType w:val="multilevel"/>
    <w:tmpl w:val="A56CC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7E1BC6"/>
    <w:multiLevelType w:val="multilevel"/>
    <w:tmpl w:val="6DD4D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C77A9D"/>
    <w:multiLevelType w:val="multilevel"/>
    <w:tmpl w:val="615A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A34E7A"/>
    <w:multiLevelType w:val="multilevel"/>
    <w:tmpl w:val="EAA2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456CD0"/>
    <w:multiLevelType w:val="multilevel"/>
    <w:tmpl w:val="5D0C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D940E6"/>
    <w:multiLevelType w:val="multilevel"/>
    <w:tmpl w:val="EB1A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013777"/>
    <w:multiLevelType w:val="multilevel"/>
    <w:tmpl w:val="138C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C44F27"/>
    <w:multiLevelType w:val="multilevel"/>
    <w:tmpl w:val="B774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C26AF4"/>
    <w:multiLevelType w:val="multilevel"/>
    <w:tmpl w:val="D2326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E31E72"/>
    <w:multiLevelType w:val="multilevel"/>
    <w:tmpl w:val="50A0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31110D"/>
    <w:multiLevelType w:val="multilevel"/>
    <w:tmpl w:val="9CF6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C36A6D"/>
    <w:multiLevelType w:val="multilevel"/>
    <w:tmpl w:val="5D9EF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0218B5"/>
    <w:multiLevelType w:val="multilevel"/>
    <w:tmpl w:val="1A18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E23A65"/>
    <w:multiLevelType w:val="multilevel"/>
    <w:tmpl w:val="D9705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C56A55"/>
    <w:multiLevelType w:val="multilevel"/>
    <w:tmpl w:val="08564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4D4CE1"/>
    <w:multiLevelType w:val="multilevel"/>
    <w:tmpl w:val="168C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78006B"/>
    <w:multiLevelType w:val="multilevel"/>
    <w:tmpl w:val="87E8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5840FA"/>
    <w:multiLevelType w:val="multilevel"/>
    <w:tmpl w:val="DF72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826B1A"/>
    <w:multiLevelType w:val="multilevel"/>
    <w:tmpl w:val="3E2A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232203">
    <w:abstractNumId w:val="24"/>
  </w:num>
  <w:num w:numId="2" w16cid:durableId="1550805610">
    <w:abstractNumId w:val="17"/>
  </w:num>
  <w:num w:numId="3" w16cid:durableId="30619172">
    <w:abstractNumId w:val="10"/>
  </w:num>
  <w:num w:numId="4" w16cid:durableId="1240483081">
    <w:abstractNumId w:val="11"/>
  </w:num>
  <w:num w:numId="5" w16cid:durableId="515266726">
    <w:abstractNumId w:val="6"/>
  </w:num>
  <w:num w:numId="6" w16cid:durableId="1067149170">
    <w:abstractNumId w:val="9"/>
  </w:num>
  <w:num w:numId="7" w16cid:durableId="608440070">
    <w:abstractNumId w:val="19"/>
  </w:num>
  <w:num w:numId="8" w16cid:durableId="1966036733">
    <w:abstractNumId w:val="4"/>
  </w:num>
  <w:num w:numId="9" w16cid:durableId="673845531">
    <w:abstractNumId w:val="22"/>
  </w:num>
  <w:num w:numId="10" w16cid:durableId="2038849076">
    <w:abstractNumId w:val="23"/>
  </w:num>
  <w:num w:numId="11" w16cid:durableId="263726929">
    <w:abstractNumId w:val="13"/>
  </w:num>
  <w:num w:numId="12" w16cid:durableId="2057654448">
    <w:abstractNumId w:val="3"/>
  </w:num>
  <w:num w:numId="13" w16cid:durableId="1227716637">
    <w:abstractNumId w:val="14"/>
  </w:num>
  <w:num w:numId="14" w16cid:durableId="372073819">
    <w:abstractNumId w:val="12"/>
  </w:num>
  <w:num w:numId="15" w16cid:durableId="1674145809">
    <w:abstractNumId w:val="5"/>
  </w:num>
  <w:num w:numId="16" w16cid:durableId="1752920396">
    <w:abstractNumId w:val="25"/>
  </w:num>
  <w:num w:numId="17" w16cid:durableId="1929608369">
    <w:abstractNumId w:val="16"/>
  </w:num>
  <w:num w:numId="18" w16cid:durableId="1768846872">
    <w:abstractNumId w:val="20"/>
  </w:num>
  <w:num w:numId="19" w16cid:durableId="760953169">
    <w:abstractNumId w:val="8"/>
  </w:num>
  <w:num w:numId="20" w16cid:durableId="262809403">
    <w:abstractNumId w:val="1"/>
  </w:num>
  <w:num w:numId="21" w16cid:durableId="1414474875">
    <w:abstractNumId w:val="18"/>
  </w:num>
  <w:num w:numId="22" w16cid:durableId="55591237">
    <w:abstractNumId w:val="21"/>
  </w:num>
  <w:num w:numId="23" w16cid:durableId="2093548021">
    <w:abstractNumId w:val="7"/>
  </w:num>
  <w:num w:numId="24" w16cid:durableId="1976400285">
    <w:abstractNumId w:val="15"/>
  </w:num>
  <w:num w:numId="25" w16cid:durableId="510527582">
    <w:abstractNumId w:val="2"/>
  </w:num>
  <w:num w:numId="26" w16cid:durableId="1757358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439"/>
    <w:rsid w:val="002E7439"/>
    <w:rsid w:val="007A29B9"/>
    <w:rsid w:val="00BB36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47CE9"/>
  <w15:docId w15:val="{C7FB05B3-8786-4DB9-82B4-0C532346C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407"/>
    <w:pPr>
      <w:spacing w:before="40" w:after="0" w:line="259" w:lineRule="auto"/>
    </w:pPr>
    <w:rPr>
      <w:rFonts w:eastAsiaTheme="minorEastAsia"/>
      <w:kern w:val="0"/>
      <w:sz w:val="20"/>
      <w:szCs w:val="22"/>
      <w14:ligatures w14:val="none"/>
    </w:rPr>
  </w:style>
  <w:style w:type="paragraph" w:styleId="Heading1">
    <w:name w:val="heading 1"/>
    <w:basedOn w:val="Normal"/>
    <w:next w:val="Normal"/>
    <w:link w:val="Heading1Char"/>
    <w:autoRedefine/>
    <w:uiPriority w:val="9"/>
    <w:qFormat/>
    <w:rsid w:val="00A56578"/>
    <w:pPr>
      <w:keepNext/>
      <w:keepLines/>
      <w:outlineLvl w:val="0"/>
    </w:pPr>
    <w:rPr>
      <w:rFonts w:asciiTheme="majorHAnsi" w:eastAsiaTheme="majorEastAsia" w:hAnsiTheme="majorHAnsi" w:cstheme="majorBidi"/>
      <w:color w:val="215E99" w:themeColor="text2" w:themeTint="BF"/>
      <w:kern w:val="2"/>
      <w:sz w:val="28"/>
      <w:szCs w:val="28"/>
      <w14:ligatures w14:val="standardContextual"/>
    </w:rPr>
  </w:style>
  <w:style w:type="paragraph" w:styleId="Heading2">
    <w:name w:val="heading 2"/>
    <w:basedOn w:val="Normal"/>
    <w:next w:val="Normal"/>
    <w:link w:val="Heading2Char"/>
    <w:autoRedefine/>
    <w:uiPriority w:val="9"/>
    <w:unhideWhenUsed/>
    <w:qFormat/>
    <w:rsid w:val="00E47B72"/>
    <w:pPr>
      <w:keepNext/>
      <w:keepLines/>
      <w:spacing w:after="80"/>
      <w:outlineLvl w:val="1"/>
    </w:pPr>
    <w:rPr>
      <w:rFonts w:asciiTheme="majorHAnsi" w:eastAsiaTheme="majorEastAsia" w:hAnsiTheme="majorHAnsi" w:cstheme="majorBidi"/>
      <w:color w:val="0B769F" w:themeColor="accent4" w:themeShade="BF"/>
      <w:kern w:val="2"/>
      <w:sz w:val="24"/>
      <w:szCs w:val="26"/>
      <w14:ligatures w14:val="standardContextual"/>
    </w:rPr>
  </w:style>
  <w:style w:type="paragraph" w:styleId="Heading3">
    <w:name w:val="heading 3"/>
    <w:basedOn w:val="Normal"/>
    <w:next w:val="Normal"/>
    <w:link w:val="Heading3Char"/>
    <w:autoRedefine/>
    <w:uiPriority w:val="9"/>
    <w:unhideWhenUsed/>
    <w:qFormat/>
    <w:rsid w:val="00D938B0"/>
    <w:pPr>
      <w:keepNext/>
      <w:keepLines/>
      <w:outlineLvl w:val="2"/>
    </w:pPr>
    <w:rPr>
      <w:rFonts w:eastAsiaTheme="majorEastAsia" w:cstheme="majorBidi"/>
      <w:b/>
      <w:bCs/>
      <w:i/>
      <w:color w:val="80340D" w:themeColor="accent2" w:themeShade="80"/>
      <w:kern w:val="2"/>
      <w:szCs w:val="24"/>
      <w14:ligatures w14:val="standardContextual"/>
    </w:rPr>
  </w:style>
  <w:style w:type="paragraph" w:styleId="Heading4">
    <w:name w:val="heading 4"/>
    <w:basedOn w:val="Normal"/>
    <w:next w:val="Normal"/>
    <w:link w:val="Heading4Char"/>
    <w:autoRedefine/>
    <w:uiPriority w:val="9"/>
    <w:semiHidden/>
    <w:unhideWhenUsed/>
    <w:qFormat/>
    <w:rsid w:val="00045B39"/>
    <w:pPr>
      <w:keepNext/>
      <w:keepLines/>
      <w:ind w:firstLine="720"/>
      <w:outlineLvl w:val="3"/>
    </w:pPr>
    <w:rPr>
      <w:rFonts w:eastAsiaTheme="majorEastAsia" w:cstheme="majorBidi"/>
      <w:b/>
      <w:bCs/>
      <w:iCs/>
      <w:kern w:val="2"/>
      <w:szCs w:val="24"/>
      <w14:ligatures w14:val="standardContextual"/>
    </w:rPr>
  </w:style>
  <w:style w:type="paragraph" w:styleId="Heading5">
    <w:name w:val="heading 5"/>
    <w:basedOn w:val="Normal"/>
    <w:next w:val="Normal"/>
    <w:link w:val="Heading5Char"/>
    <w:uiPriority w:val="9"/>
    <w:semiHidden/>
    <w:unhideWhenUsed/>
    <w:qFormat/>
    <w:rsid w:val="002F7C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7C56"/>
    <w:pPr>
      <w:keepNext/>
      <w:keepLines/>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C56"/>
    <w:pPr>
      <w:keepNext/>
      <w:keepLines/>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C5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C5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1"/>
    <w:qFormat/>
    <w:rsid w:val="00FD5A9A"/>
    <w:rPr>
      <w:rFonts w:ascii="Avenir Next LT Pro" w:hAnsi="Avenir Next LT Pro"/>
      <w:b w:val="0"/>
      <w:i/>
      <w:iCs/>
      <w:color w:val="80340D" w:themeColor="accent2" w:themeShade="80"/>
      <w:sz w:val="20"/>
    </w:rPr>
  </w:style>
  <w:style w:type="character" w:customStyle="1" w:styleId="Heading3Char">
    <w:name w:val="Heading 3 Char"/>
    <w:basedOn w:val="DefaultParagraphFont"/>
    <w:link w:val="Heading3"/>
    <w:uiPriority w:val="9"/>
    <w:rsid w:val="00D938B0"/>
    <w:rPr>
      <w:rFonts w:eastAsiaTheme="majorEastAsia" w:cstheme="majorBidi"/>
      <w:b/>
      <w:bCs/>
      <w:i/>
      <w:color w:val="80340D" w:themeColor="accent2" w:themeShade="80"/>
      <w:sz w:val="20"/>
    </w:rPr>
  </w:style>
  <w:style w:type="paragraph" w:customStyle="1" w:styleId="References">
    <w:name w:val="References"/>
    <w:basedOn w:val="Normal"/>
    <w:autoRedefine/>
    <w:qFormat/>
    <w:rsid w:val="00045B39"/>
    <w:pPr>
      <w:ind w:left="720" w:hanging="720"/>
    </w:pPr>
    <w:rPr>
      <w:b/>
    </w:rPr>
  </w:style>
  <w:style w:type="character" w:customStyle="1" w:styleId="Heading1Char">
    <w:name w:val="Heading 1 Char"/>
    <w:basedOn w:val="DefaultParagraphFont"/>
    <w:link w:val="Heading1"/>
    <w:uiPriority w:val="9"/>
    <w:rsid w:val="00A56578"/>
    <w:rPr>
      <w:rFonts w:asciiTheme="majorHAnsi" w:eastAsiaTheme="majorEastAsia" w:hAnsiTheme="majorHAnsi" w:cstheme="majorBidi"/>
      <w:color w:val="215E99" w:themeColor="text2" w:themeTint="BF"/>
      <w:sz w:val="28"/>
      <w:szCs w:val="28"/>
    </w:rPr>
  </w:style>
  <w:style w:type="character" w:customStyle="1" w:styleId="Heading2Char">
    <w:name w:val="Heading 2 Char"/>
    <w:basedOn w:val="DefaultParagraphFont"/>
    <w:link w:val="Heading2"/>
    <w:uiPriority w:val="9"/>
    <w:rsid w:val="00E47B72"/>
    <w:rPr>
      <w:rFonts w:asciiTheme="majorHAnsi" w:eastAsiaTheme="majorEastAsia" w:hAnsiTheme="majorHAnsi" w:cstheme="majorBidi"/>
      <w:color w:val="0B769F" w:themeColor="accent4" w:themeShade="BF"/>
      <w:szCs w:val="26"/>
    </w:rPr>
  </w:style>
  <w:style w:type="character" w:customStyle="1" w:styleId="Heading4Char">
    <w:name w:val="Heading 4 Char"/>
    <w:basedOn w:val="DefaultParagraphFont"/>
    <w:link w:val="Heading4"/>
    <w:uiPriority w:val="9"/>
    <w:semiHidden/>
    <w:rsid w:val="00045B39"/>
    <w:rPr>
      <w:rFonts w:ascii="Times New Roman" w:eastAsiaTheme="majorEastAsia" w:hAnsi="Times New Roman" w:cstheme="majorBidi"/>
      <w:b/>
      <w:bCs/>
      <w:iCs/>
    </w:rPr>
  </w:style>
  <w:style w:type="character" w:customStyle="1" w:styleId="Heading5Char">
    <w:name w:val="Heading 5 Char"/>
    <w:basedOn w:val="DefaultParagraphFont"/>
    <w:link w:val="Heading5"/>
    <w:uiPriority w:val="9"/>
    <w:semiHidden/>
    <w:rsid w:val="002F7C56"/>
    <w:rPr>
      <w:rFonts w:eastAsiaTheme="majorEastAsia"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2F7C56"/>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2F7C56"/>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2F7C56"/>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2F7C56"/>
    <w:rPr>
      <w:rFonts w:eastAsiaTheme="majorEastAsia" w:cstheme="majorBidi"/>
      <w:color w:val="272727" w:themeColor="text1" w:themeTint="D8"/>
      <w:kern w:val="0"/>
      <w:szCs w:val="22"/>
      <w14:ligatures w14:val="none"/>
    </w:rPr>
  </w:style>
  <w:style w:type="paragraph" w:styleId="Title">
    <w:name w:val="Title"/>
    <w:basedOn w:val="Normal"/>
    <w:next w:val="Normal"/>
    <w:link w:val="TitleChar"/>
    <w:uiPriority w:val="10"/>
    <w:qFormat/>
    <w:rsid w:val="001B0FAE"/>
    <w:pPr>
      <w:spacing w:after="80" w:line="240" w:lineRule="auto"/>
      <w:contextualSpacing/>
    </w:pPr>
    <w:rPr>
      <w:rFonts w:asciiTheme="majorHAnsi" w:eastAsiaTheme="majorEastAsia" w:hAnsiTheme="majorHAnsi" w:cstheme="majorBidi"/>
      <w:color w:val="156082" w:themeColor="accent1"/>
      <w:spacing w:val="-10"/>
      <w:kern w:val="28"/>
      <w:sz w:val="36"/>
      <w:szCs w:val="56"/>
    </w:rPr>
  </w:style>
  <w:style w:type="character" w:customStyle="1" w:styleId="TitleChar">
    <w:name w:val="Title Char"/>
    <w:basedOn w:val="DefaultParagraphFont"/>
    <w:link w:val="Title"/>
    <w:uiPriority w:val="10"/>
    <w:rsid w:val="001B0FAE"/>
    <w:rPr>
      <w:rFonts w:asciiTheme="majorHAnsi" w:eastAsiaTheme="majorEastAsia" w:hAnsiTheme="majorHAnsi" w:cstheme="majorBidi"/>
      <w:color w:val="156082" w:themeColor="accent1"/>
      <w:spacing w:val="-10"/>
      <w:kern w:val="28"/>
      <w:sz w:val="36"/>
      <w:szCs w:val="56"/>
      <w14:ligatures w14:val="none"/>
    </w:rPr>
  </w:style>
  <w:style w:type="paragraph" w:styleId="Subtitle">
    <w:name w:val="Subtitle"/>
    <w:basedOn w:val="Normal"/>
    <w:next w:val="Normal"/>
    <w:link w:val="SubtitleChar"/>
    <w:uiPriority w:val="11"/>
    <w:qFormat/>
    <w:rsid w:val="002F7C5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C56"/>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2F7C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7C56"/>
    <w:rPr>
      <w:rFonts w:ascii="Times New Roman" w:eastAsiaTheme="minorEastAsia" w:hAnsi="Times New Roman"/>
      <w:i/>
      <w:iCs/>
      <w:color w:val="404040" w:themeColor="text1" w:themeTint="BF"/>
      <w:kern w:val="0"/>
      <w:szCs w:val="22"/>
      <w14:ligatures w14:val="none"/>
    </w:rPr>
  </w:style>
  <w:style w:type="paragraph" w:styleId="ListParagraph">
    <w:name w:val="List Paragraph"/>
    <w:basedOn w:val="Normal"/>
    <w:uiPriority w:val="34"/>
    <w:qFormat/>
    <w:rsid w:val="002F7C56"/>
    <w:pPr>
      <w:ind w:left="720"/>
      <w:contextualSpacing/>
    </w:pPr>
  </w:style>
  <w:style w:type="paragraph" w:styleId="IntenseQuote">
    <w:name w:val="Intense Quote"/>
    <w:basedOn w:val="Normal"/>
    <w:next w:val="Normal"/>
    <w:link w:val="IntenseQuoteChar"/>
    <w:uiPriority w:val="30"/>
    <w:qFormat/>
    <w:rsid w:val="002F7C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7C56"/>
    <w:rPr>
      <w:rFonts w:ascii="Times New Roman" w:eastAsiaTheme="minorEastAsia" w:hAnsi="Times New Roman"/>
      <w:i/>
      <w:iCs/>
      <w:color w:val="0F4761" w:themeColor="accent1" w:themeShade="BF"/>
      <w:kern w:val="0"/>
      <w:szCs w:val="22"/>
      <w14:ligatures w14:val="none"/>
    </w:rPr>
  </w:style>
  <w:style w:type="character" w:styleId="IntenseReference">
    <w:name w:val="Intense Reference"/>
    <w:basedOn w:val="DefaultParagraphFont"/>
    <w:uiPriority w:val="32"/>
    <w:qFormat/>
    <w:rsid w:val="002F7C56"/>
    <w:rPr>
      <w:b/>
      <w:bCs/>
      <w:smallCaps/>
      <w:color w:val="0F4761" w:themeColor="accent1" w:themeShade="BF"/>
      <w:spacing w:val="5"/>
    </w:rPr>
  </w:style>
  <w:style w:type="character" w:styleId="SubtleEmphasis">
    <w:name w:val="Subtle Emphasis"/>
    <w:basedOn w:val="DefaultParagraphFont"/>
    <w:uiPriority w:val="19"/>
    <w:qFormat/>
    <w:rsid w:val="00A1475C"/>
    <w:rPr>
      <w:rFonts w:asciiTheme="minorHAnsi" w:hAnsiTheme="minorHAnsi"/>
      <w:i/>
      <w:iCs/>
      <w:color w:val="595959" w:themeColor="text1" w:themeTint="A6"/>
      <w:sz w:val="22"/>
    </w:rPr>
  </w:style>
  <w:style w:type="paragraph" w:styleId="Header">
    <w:name w:val="header"/>
    <w:basedOn w:val="Normal"/>
    <w:link w:val="HeaderChar"/>
    <w:uiPriority w:val="99"/>
    <w:unhideWhenUsed/>
    <w:rsid w:val="00FC64BE"/>
    <w:pPr>
      <w:tabs>
        <w:tab w:val="center" w:pos="4680"/>
        <w:tab w:val="right" w:pos="9360"/>
      </w:tabs>
      <w:spacing w:before="0" w:line="240" w:lineRule="auto"/>
    </w:pPr>
  </w:style>
  <w:style w:type="character" w:customStyle="1" w:styleId="HeaderChar">
    <w:name w:val="Header Char"/>
    <w:basedOn w:val="DefaultParagraphFont"/>
    <w:link w:val="Header"/>
    <w:uiPriority w:val="99"/>
    <w:rsid w:val="00FC64BE"/>
    <w:rPr>
      <w:rFonts w:eastAsiaTheme="minorEastAsia"/>
      <w:kern w:val="0"/>
      <w:sz w:val="22"/>
      <w:szCs w:val="22"/>
      <w14:ligatures w14:val="none"/>
    </w:rPr>
  </w:style>
  <w:style w:type="paragraph" w:styleId="Footer">
    <w:name w:val="footer"/>
    <w:basedOn w:val="Normal"/>
    <w:link w:val="FooterChar"/>
    <w:uiPriority w:val="99"/>
    <w:unhideWhenUsed/>
    <w:rsid w:val="00FC64BE"/>
    <w:pPr>
      <w:tabs>
        <w:tab w:val="center" w:pos="4680"/>
        <w:tab w:val="right" w:pos="9360"/>
      </w:tabs>
      <w:spacing w:before="0" w:line="240" w:lineRule="auto"/>
    </w:pPr>
  </w:style>
  <w:style w:type="character" w:customStyle="1" w:styleId="FooterChar">
    <w:name w:val="Footer Char"/>
    <w:basedOn w:val="DefaultParagraphFont"/>
    <w:link w:val="Footer"/>
    <w:uiPriority w:val="99"/>
    <w:rsid w:val="00FC64BE"/>
    <w:rPr>
      <w:rFonts w:eastAsiaTheme="minorEastAsia"/>
      <w:kern w:val="0"/>
      <w:sz w:val="22"/>
      <w:szCs w:val="22"/>
      <w14:ligatures w14:val="none"/>
    </w:rPr>
  </w:style>
  <w:style w:type="paragraph" w:styleId="NoSpacing">
    <w:name w:val="No Spacing"/>
    <w:link w:val="NoSpacingChar"/>
    <w:uiPriority w:val="1"/>
    <w:qFormat/>
    <w:rsid w:val="0074501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4501B"/>
    <w:rPr>
      <w:rFonts w:eastAsiaTheme="minorEastAsia"/>
      <w:kern w:val="0"/>
      <w:sz w:val="22"/>
      <w:szCs w:val="22"/>
      <w14:ligatures w14:val="none"/>
    </w:rPr>
  </w:style>
  <w:style w:type="character" w:styleId="Emphasis">
    <w:name w:val="Emphasis"/>
    <w:basedOn w:val="DefaultParagraphFont"/>
    <w:uiPriority w:val="20"/>
    <w:qFormat/>
    <w:rsid w:val="005D5A6A"/>
    <w:rPr>
      <w:b/>
      <w:i/>
      <w:iCs/>
      <w:color w:val="0A2F41" w:themeColor="accent1" w:themeShade="80"/>
    </w:rPr>
  </w:style>
  <w:style w:type="table" w:styleId="GridTable1Light">
    <w:name w:val="Grid Table 1 Light"/>
    <w:basedOn w:val="TableNormal"/>
    <w:uiPriority w:val="46"/>
    <w:rsid w:val="00D6277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225D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msonormal0">
    <w:name w:val="msonormal"/>
    <w:basedOn w:val="Normal"/>
    <w:rsid w:val="00C96584"/>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9658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96584"/>
    <w:rPr>
      <w:b/>
      <w:bCs/>
    </w:rPr>
  </w:style>
  <w:style w:type="paragraph" w:styleId="HTMLPreformatted">
    <w:name w:val="HTML Preformatted"/>
    <w:basedOn w:val="Normal"/>
    <w:link w:val="HTMLPreformattedChar"/>
    <w:uiPriority w:val="99"/>
    <w:semiHidden/>
    <w:unhideWhenUsed/>
    <w:rsid w:val="00C965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C9658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96584"/>
    <w:rPr>
      <w:rFonts w:ascii="Courier New" w:eastAsia="Times New Roman" w:hAnsi="Courier New" w:cs="Courier New"/>
      <w:sz w:val="20"/>
      <w:szCs w:val="20"/>
    </w:rPr>
  </w:style>
  <w:style w:type="table" w:styleId="GridTable1Light-Accent4">
    <w:name w:val="Grid Table 1 Light Accent 4"/>
    <w:basedOn w:val="TableNormal"/>
    <w:uiPriority w:val="46"/>
    <w:rsid w:val="0066110A"/>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E72EFB"/>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2763</Words>
  <Characters>15751</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Syam Adusumilli</dc:creator>
  <cp:keywords/>
  <cp:lastModifiedBy>Syam Adusumilli</cp:lastModifiedBy>
  <cp:revision>2</cp:revision>
  <dcterms:created xsi:type="dcterms:W3CDTF">2026-02-05T13:29:00Z</dcterms:created>
  <dcterms:modified xsi:type="dcterms:W3CDTF">2026-02-05T13:29:00Z</dcterms:modified>
</cp:coreProperties>
</file>