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1A79" w14:textId="77777777" w:rsidR="00042287" w:rsidRPr="00194383" w:rsidRDefault="00194383">
      <w:pPr>
        <w:pStyle w:val="Title"/>
        <w:rPr>
          <w:sz w:val="24"/>
          <w:szCs w:val="44"/>
        </w:rPr>
      </w:pPr>
      <w:r w:rsidRPr="00194383">
        <w:rPr>
          <w:sz w:val="24"/>
          <w:szCs w:val="44"/>
        </w:rPr>
        <w:t>RHTP 11.D</w:t>
      </w:r>
    </w:p>
    <w:p w14:paraId="5E8C6F5E" w14:textId="77777777" w:rsidR="00042287" w:rsidRDefault="00194383">
      <w:pPr>
        <w:pStyle w:val="Title"/>
      </w:pPr>
      <w:r>
        <w:t>Chronic Disease and Prevention</w:t>
      </w:r>
    </w:p>
    <w:p w14:paraId="4C995A11" w14:textId="77777777" w:rsidR="00042287" w:rsidRDefault="00194383">
      <w:pPr>
        <w:pStyle w:val="Subtitle"/>
      </w:pPr>
      <w:r>
        <w:t>Prevention Promise vs. Prevention Failure</w:t>
      </w:r>
    </w:p>
    <w:p w14:paraId="32210DC0" w14:textId="77777777" w:rsidR="00042287" w:rsidRDefault="00194383">
      <w:r>
        <w:t xml:space="preserve">Every public health strategy document emphasizes prevention. Every transformation plan acknowledges that preventing disease costs less than treating disease, that upstream intervention produces better outcomes than downstream rescue. Rural health transformation is no exception. </w:t>
      </w:r>
      <w:r>
        <w:rPr>
          <w:rStyle w:val="Emphasis"/>
        </w:rPr>
        <w:t>RHTP proposals across states prioritize chronic disease prevention programs</w:t>
      </w:r>
      <w:r>
        <w:t>, lifestyle interventions, community health education, and population health approaches. The logic seems unassailable.</w:t>
      </w:r>
    </w:p>
    <w:p w14:paraId="391954D8" w14:textId="77777777" w:rsidR="00042287" w:rsidRDefault="00194383">
      <w:r>
        <w:t xml:space="preserve">Yet rural chronic disease rates continue rising. Diabetes prevalence in rural areas exceeds urban rates by 9% to 17%. Obesity affects 40% of American adults, with rural populations bearing disproportionate burden. Hypertension control rates remain inadequate despite decades of clinical guidance. </w:t>
      </w:r>
      <w:r>
        <w:rPr>
          <w:rStyle w:val="Emphasis"/>
        </w:rPr>
        <w:t>Every generation of prevention programs produces evidence of modest effectiveness in controlled trials and failure at population scale.</w:t>
      </w:r>
    </w:p>
    <w:p w14:paraId="1BD8B0FF" w14:textId="77777777" w:rsidR="00042287" w:rsidRDefault="00194383">
      <w:r>
        <w:t>This article examines why prevention so consistently disappoints in rural America. The question is not whether prevention could work in theory but why it fails in practice. Understanding this gap matters because transformation plans that allocate substantial resources to prevention based on controlled trial evidence may produce results that fall far short of projections.</w:t>
      </w:r>
    </w:p>
    <w:p w14:paraId="630AE7E6" w14:textId="77777777" w:rsidR="00042287" w:rsidRDefault="00194383">
      <w:pPr>
        <w:pStyle w:val="Heading1"/>
      </w:pPr>
      <w:bookmarkStart w:id="0" w:name="the-epidemiology-of-chronic-disease"/>
      <w:r>
        <w:t>The Epidemiology of Chronic Disease</w:t>
      </w:r>
    </w:p>
    <w:p w14:paraId="346F4469" w14:textId="77777777" w:rsidR="00042287" w:rsidRDefault="00194383">
      <w:r>
        <w:t xml:space="preserve">Diabetes now affects approximately 12% of the U.S. adult population, more than double the 5% prevalence documented fifty years ago. </w:t>
      </w:r>
      <w:r>
        <w:rPr>
          <w:rStyle w:val="Emphasis"/>
        </w:rPr>
        <w:t>Rural diabetes prevalence runs 9% to 17% higher than urban rates</w:t>
      </w:r>
      <w:r>
        <w:t xml:space="preserve"> depending on state and measurement methodology. The 2021 CDC Diabetes State Burden Toolkit documented significant rural-urban disparities in 19 states, with sociodemographic characteristics and obesity rates explaining much but not all of the difference.</w:t>
      </w:r>
    </w:p>
    <w:p w14:paraId="2BA05287" w14:textId="77777777" w:rsidR="00042287" w:rsidRDefault="00194383">
      <w:r>
        <w:t xml:space="preserve">Diabetes mortality shows even starker disparities. Rural areas consistently exhibit greater </w:t>
      </w:r>
      <w:r>
        <w:rPr>
          <w:rStyle w:val="Emphasis"/>
        </w:rPr>
        <w:t>age-adjusted mortality rates</w:t>
      </w:r>
      <w:r>
        <w:t xml:space="preserve"> from diabetes and hypertension than urban regions. From 1999 to 2020, overall rural diabetes mortality was 1.86 per 100,000 compared to 1.26 per 100,000 in urban areas. States like Oklahoma, Mississippi, and West Virginia demonstrate persistently high mortality while states like Utah, New Hampshire, and Massachusetts report substantially lower rates. The Southern region and rural areas consistently exceed other regions regardless of which specific metric is examined.</w:t>
      </w:r>
    </w:p>
    <w:p w14:paraId="408ACB7A" w14:textId="77777777" w:rsidR="00042287" w:rsidRDefault="00194383">
      <w:r>
        <w:t xml:space="preserve">Obesity, the primary driver of type 2 diabetes, affects </w:t>
      </w:r>
      <w:r>
        <w:rPr>
          <w:rStyle w:val="Emphasis"/>
        </w:rPr>
        <w:t>40.3% of American adults</w:t>
      </w:r>
      <w:r>
        <w:t xml:space="preserve"> according to 2021-2023 NHANES data. While national trends have stabilized at this elevated level, rural populations face higher rates and worse outcomes. Adults aged 40-59 show the highest obesity prevalence at 46.4%. The chronic disease cascade that begins with obesity progresses predictably: insulin resistance, prediabetes, diabetes, cardiovascular disease, kidney failure, amputation, and premature death.</w:t>
      </w:r>
    </w:p>
    <w:p w14:paraId="27ACD745" w14:textId="77777777" w:rsidR="00042287" w:rsidRDefault="00194383">
      <w:r>
        <w:t xml:space="preserve">Hypertension control illustrates the gap between clinical capacity and population outcomes. </w:t>
      </w:r>
      <w:r>
        <w:rPr>
          <w:rStyle w:val="Emphasis"/>
        </w:rPr>
        <w:t>Effective antihypertensive medications exist and have existed for decades.</w:t>
      </w:r>
      <w:r>
        <w:t xml:space="preserve"> Clinical guidelines clearly specify treatment targets. Yet hypertension control rates remain suboptimal, particularly in rural areas where medication adherence challenges, provider shortages, and barriers to follow-up care compound the difficulty of managing a condition that produces no symptoms until complications emerge.</w:t>
      </w:r>
    </w:p>
    <w:p w14:paraId="2CCB44A4" w14:textId="77777777" w:rsidR="00042287" w:rsidRDefault="00194383">
      <w:r>
        <w:t xml:space="preserve">COPD adds to the rural chronic disease burden, driven substantially by </w:t>
      </w:r>
      <w:r>
        <w:rPr>
          <w:rStyle w:val="Emphasis"/>
        </w:rPr>
        <w:t>higher smoking rates</w:t>
      </w:r>
      <w:r>
        <w:t xml:space="preserve"> that persist in rural populations despite decades of tobacco control efforts. Rural adults smoke at rates approximately 20% higher than urban adults. Smoking cessation programs work in clinical trials but achieve limited reach and sustained effectiveness at population scale.</w:t>
      </w:r>
    </w:p>
    <w:p w14:paraId="0D150180" w14:textId="77777777" w:rsidR="00042287" w:rsidRDefault="00194383">
      <w:r>
        <w:t xml:space="preserve">The regional concentration of chronic disease mirrors economic and social patterns. </w:t>
      </w:r>
      <w:r>
        <w:rPr>
          <w:rStyle w:val="Emphasis"/>
        </w:rPr>
        <w:t>The Mississippi Delta, Appalachian coalfields, and Deep South</w:t>
      </w:r>
      <w:r>
        <w:t xml:space="preserve"> carry the highest burden. These are the same regions </w:t>
      </w:r>
      <w:r>
        <w:lastRenderedPageBreak/>
        <w:t>demonstrating concentrated deaths of despair, persistent poverty, and healthcare infrastructure deficits. Chronic disease is not randomly distributed; it follows the geography of disadvantage.</w:t>
      </w:r>
    </w:p>
    <w:p w14:paraId="79E74EA2" w14:textId="77777777" w:rsidR="00042287" w:rsidRDefault="00194383">
      <w:pPr>
        <w:pStyle w:val="Heading1"/>
      </w:pPr>
      <w:bookmarkStart w:id="1" w:name="Xb3cde5413908e529ee475e15b0f8216a2b0c120"/>
      <w:bookmarkEnd w:id="0"/>
      <w:r>
        <w:t>The Core Tension: Prevention Promise vs. Prevention Failure</w:t>
      </w:r>
    </w:p>
    <w:p w14:paraId="39C09377" w14:textId="77777777" w:rsidR="00042287" w:rsidRDefault="00194383">
      <w:r>
        <w:t xml:space="preserve">The </w:t>
      </w:r>
      <w:r>
        <w:rPr>
          <w:rStyle w:val="Emphasis"/>
        </w:rPr>
        <w:t>prevention promise</w:t>
      </w:r>
      <w:r>
        <w:t xml:space="preserve"> rests on solid biological and epidemiological foundations. Lifestyle modification can prevent type 2 diabetes. The Diabetes Prevention Program demonstrated that intensive lifestyle intervention, producing modest weight loss through diet and exercise, reduced diabetes incidence by 58% compared to placebo over three years. This result has been replicated across populations and settings. </w:t>
      </w:r>
      <w:r>
        <w:rPr>
          <w:rStyle w:val="Emphasis"/>
        </w:rPr>
        <w:t>The evidence that prevention works is not in question.</w:t>
      </w:r>
    </w:p>
    <w:p w14:paraId="2BE60463" w14:textId="77777777" w:rsidR="00042287" w:rsidRDefault="00194383">
      <w:r>
        <w:t>Similarly, hypertension responds to lifestyle modification. Reduced sodium intake, increased physical activity, weight loss, and limited alcohol consumption all reduce blood pressure. Smoking cessation produces rapid cardiovascular risk reduction. The physiological pathways connecting behavior to disease are well-characterized, and interventions targeting those behaviors show efficacy in controlled trials.</w:t>
      </w:r>
    </w:p>
    <w:p w14:paraId="324320BC" w14:textId="77777777" w:rsidR="00042287" w:rsidRDefault="00194383">
      <w:r>
        <w:t xml:space="preserve">The </w:t>
      </w:r>
      <w:r>
        <w:rPr>
          <w:rStyle w:val="Emphasis"/>
        </w:rPr>
        <w:t>prevention failure</w:t>
      </w:r>
      <w:r>
        <w:t xml:space="preserve"> appears when these interventions move from controlled trials to population implementation. The Diabetes Prevention Program lifestyle intervention required intensive support: sixteen sessions over twenty-four weeks, then monthly follow-up, delivered by trained staff to motivated participants. Translating this to rural communities with limited healthcare infrastructure, transportation barriers, competing work and family demands, and populations not necessarily seeking preventive care produc</w:t>
      </w:r>
      <w:r>
        <w:t>es diluted effects.</w:t>
      </w:r>
    </w:p>
    <w:p w14:paraId="544B8CCF" w14:textId="77777777" w:rsidR="00042287" w:rsidRDefault="00194383">
      <w:r>
        <w:t xml:space="preserve">Implementation studies of diabetes prevention programs in real-world settings show </w:t>
      </w:r>
      <w:r>
        <w:rPr>
          <w:rStyle w:val="Emphasis"/>
        </w:rPr>
        <w:t>attrition rates of 30-50%</w:t>
      </w:r>
      <w:r>
        <w:t xml:space="preserve"> and weight loss substantially below clinical trial levels. Recruitment challenges limit reach; programs serve motivated volunteers rather than populations at highest risk. Retention challenges undermine dose; participants who most need continued support often drop out earliest. Sustainable behavior change proves elusive; many participants regain weight after programs end.</w:t>
      </w:r>
    </w:p>
    <w:p w14:paraId="7165CA19" w14:textId="77777777" w:rsidR="00042287" w:rsidRDefault="00194383">
      <w:r>
        <w:t xml:space="preserve">The </w:t>
      </w:r>
      <w:r>
        <w:rPr>
          <w:rStyle w:val="Emphasis"/>
        </w:rPr>
        <w:t>environmental determinism critique</w:t>
      </w:r>
      <w:r>
        <w:t xml:space="preserve"> argues that individual prevention interventions cannot overcome environments structured against health. Rural food environments often lack grocery stores with fresh produce while featuring abundant fast food and convenience stores. Physical activity environments lack sidewalks, parks, and recreational facilities. Economic pressures force sedentary work and long commutes. Social environments normalize unhealthy behaviors as markers of cultural identity.</w:t>
      </w:r>
    </w:p>
    <w:p w14:paraId="6907064F" w14:textId="77777777" w:rsidR="00042287" w:rsidRDefault="00194383">
      <w:r>
        <w:t xml:space="preserve">From this perspective, asking individuals to make healthy choices in environments that make healthy choices difficult is asking them to swim against currents stronger than their individual capacity. </w:t>
      </w:r>
      <w:r>
        <w:rPr>
          <w:rStyle w:val="Emphasis"/>
        </w:rPr>
        <w:t>The prevention programs that show efficacy typically also change environments</w:t>
      </w:r>
      <w:r>
        <w:t>: worksites that restructure cafeterias and provide exercise facilities, schools that require physical activity and limit unhealthy food sales, communities that build walkable infrastructure. Individual counseling without environmental change yields limited durable effects.</w:t>
      </w:r>
    </w:p>
    <w:p w14:paraId="4D89EDD3" w14:textId="77777777" w:rsidR="00042287" w:rsidRDefault="00194383">
      <w:pPr>
        <w:pStyle w:val="Heading1"/>
      </w:pPr>
      <w:bookmarkStart w:id="2" w:name="living-with-preventions-limits"/>
      <w:bookmarkEnd w:id="1"/>
      <w:r>
        <w:t>Living with Prevention’s Limits</w:t>
      </w:r>
    </w:p>
    <w:p w14:paraId="3F758B6C" w14:textId="77777777" w:rsidR="00042287" w:rsidRDefault="00194383">
      <w:r>
        <w:t>Loretta has been prediabetic for seven years. Her mother had diabetes, lost a foot to it, died at sixty-three from kidney failure. Loretta knows what is coming if she does not change course. She has tried to change course, repeatedly.</w:t>
      </w:r>
    </w:p>
    <w:p w14:paraId="1B728AEC" w14:textId="77777777" w:rsidR="00042287" w:rsidRDefault="00194383">
      <w:r>
        <w:t xml:space="preserve">The health department offered a diabetes prevention class at the church. </w:t>
      </w:r>
      <w:r>
        <w:rPr>
          <w:rStyle w:val="Emphasis"/>
        </w:rPr>
        <w:t>Loretta attended six of sixteen sessions</w:t>
      </w:r>
      <w:r>
        <w:t xml:space="preserve"> before her work schedule shifted and she could no longer make the evening meetings. She learned about carbohydrate counting, portion control, reading nutrition labels. She tried to apply what she learned.</w:t>
      </w:r>
    </w:p>
    <w:p w14:paraId="14484DAA" w14:textId="77777777" w:rsidR="00042287" w:rsidRDefault="00194383">
      <w:r>
        <w:t xml:space="preserve">The grocery store closed three years ago. The nearest supermarket is forty minutes away in the county seat. Loretta shops there every two weeks, buying what will keep. Fresh vegetables do not keep. The dollar store nearby has canned vegetables, frozen dinners, and plenty of snacks. </w:t>
      </w:r>
      <w:r>
        <w:rPr>
          <w:rStyle w:val="Emphasis"/>
        </w:rPr>
        <w:t>Loretta’s choices are not unconstrained choices.</w:t>
      </w:r>
    </w:p>
    <w:p w14:paraId="34D822A3" w14:textId="77777777" w:rsidR="00042287" w:rsidRDefault="00194383">
      <w:r>
        <w:lastRenderedPageBreak/>
        <w:t>Her doctor prescribed metformin when her A1C crept into the diabetic range last year. Loretta takes it most days, though she sometimes skips when the prescription runs out and she cannot get to the pharmacy. Her insurance does not cover the continuous glucose monitors her doctor recommended. She checks her blood sugar when she remembers, when she has test strips, when she is not too tired from working overtime to make rent.</w:t>
      </w:r>
    </w:p>
    <w:p w14:paraId="62B5A3AD" w14:textId="77777777" w:rsidR="00042287" w:rsidRDefault="00194383">
      <w:r>
        <w:rPr>
          <w:rStyle w:val="Emphasis"/>
        </w:rPr>
        <w:t>Loretta is not failing prevention; prevention is failing Loretta.</w:t>
      </w:r>
      <w:r>
        <w:t xml:space="preserve"> She possesses the knowledge, has the motivation, and makes genuine efforts. But prevention programs were designed for people with time to attend classes, money to buy healthy food, transportation to access services, and environments that support healthy choices. Loretta has constraints that lifestyle interventions did not address.</w:t>
      </w:r>
    </w:p>
    <w:p w14:paraId="6D55033B" w14:textId="77777777" w:rsidR="00042287" w:rsidRDefault="00194383">
      <w:r>
        <w:t xml:space="preserve">The diabetes educator who ran the church program knows Loretta’s situation is common. Most participants face similar barriers. The program design assumed resources and circumstances that most participants lack. </w:t>
      </w:r>
      <w:r>
        <w:rPr>
          <w:rStyle w:val="Emphasis"/>
        </w:rPr>
        <w:t>Demonstrating efficacy in controlled trials required different conditions than achieving effectiveness in rural communities.</w:t>
      </w:r>
    </w:p>
    <w:p w14:paraId="7169D109" w14:textId="77777777" w:rsidR="00042287" w:rsidRDefault="00194383">
      <w:pPr>
        <w:pStyle w:val="Heading1"/>
      </w:pPr>
      <w:bookmarkStart w:id="3" w:name="why-prevention-programs-fail-at-scale"/>
      <w:bookmarkEnd w:id="2"/>
      <w:r>
        <w:t>Why Prevention Programs Fail at Scale</w:t>
      </w:r>
    </w:p>
    <w:p w14:paraId="038547F9" w14:textId="77777777" w:rsidR="00042287" w:rsidRDefault="00194383">
      <w:r>
        <w:t>Several mechanisms explain the consistent gap between prevention efficacy and effectiveness in rural settings. Understanding these mechanisms matters for transformation planning because they suggest which investments might overcome barriers and which face structural obstacles.</w:t>
      </w:r>
    </w:p>
    <w:p w14:paraId="2B26DF1E" w14:textId="77777777" w:rsidR="00042287" w:rsidRDefault="00194383">
      <w:r>
        <w:rPr>
          <w:rStyle w:val="Emphasis"/>
        </w:rPr>
        <w:t>Selection effects</w:t>
      </w:r>
      <w:r>
        <w:t xml:space="preserve"> </w:t>
      </w:r>
      <w:r>
        <w:t>shape who participates in prevention programs. Randomized trials recruit motivated volunteers, often screened for likelihood of completion. Population programs must reach people who did not volunteer, may not perceive themselves at risk, and face barriers to participation. The people most needing prevention often least resemble trial participants.</w:t>
      </w:r>
    </w:p>
    <w:p w14:paraId="0D4A5C91" w14:textId="77777777" w:rsidR="00042287" w:rsidRDefault="00194383">
      <w:r>
        <w:rPr>
          <w:rStyle w:val="Emphasis"/>
        </w:rPr>
        <w:t>Dose and fidelity challenges</w:t>
      </w:r>
      <w:r>
        <w:t xml:space="preserve"> dilute intervention effects when programs scale. The Diabetes Prevention Program devoted 150 minutes weekly to lifestyle intervention with trained staff providing ongoing support. Community translations often compress content into fewer sessions, delivered by staff with less training, to participants attending inconsistently. </w:t>
      </w:r>
      <w:r>
        <w:rPr>
          <w:rStyle w:val="Emphasis"/>
        </w:rPr>
        <w:t>Reduced dose produces reduced effects.</w:t>
      </w:r>
    </w:p>
    <w:p w14:paraId="78CDD1E8" w14:textId="77777777" w:rsidR="00042287" w:rsidRDefault="00194383">
      <w:r>
        <w:rPr>
          <w:rStyle w:val="Emphasis"/>
        </w:rPr>
        <w:t>Environmental mismatches</w:t>
      </w:r>
      <w:r>
        <w:t xml:space="preserve"> mean that behavior change taught in clinical settings must persist in environments that resist it. Participants learn healthy eating in settings where healthy food is available, then return to food deserts. They learn exercise routines in programs with facilities, then return to communities lacking safe walking paths. </w:t>
      </w:r>
      <w:r>
        <w:rPr>
          <w:rStyle w:val="Emphasis"/>
        </w:rPr>
        <w:t>Skill-building without environmental support has limited durability.</w:t>
      </w:r>
    </w:p>
    <w:p w14:paraId="0AFAAA12" w14:textId="77777777" w:rsidR="00042287" w:rsidRDefault="00194383">
      <w:r>
        <w:rPr>
          <w:rStyle w:val="Emphasis"/>
        </w:rPr>
        <w:t>Competing priorities</w:t>
      </w:r>
      <w:r>
        <w:t xml:space="preserve"> </w:t>
      </w:r>
      <w:r>
        <w:t>undermine prevention’s salience. Chronic disease prevention addresses future risks; most people manage present crises. When economic stress, family demands, and immediate health problems compete for attention, preventing diabetes that might develop in fifteen years loses urgency. Prevention programs designed by health professionals often assume health ranks higher among priorities than it does for people managing multiple life challenges.</w:t>
      </w:r>
    </w:p>
    <w:p w14:paraId="4D5B2086" w14:textId="77777777" w:rsidR="00042287" w:rsidRDefault="00194383">
      <w:r>
        <w:rPr>
          <w:rStyle w:val="Emphasis"/>
        </w:rPr>
        <w:t>Cultural misalignment</w:t>
      </w:r>
      <w:r>
        <w:t xml:space="preserve"> affects program acceptance in rural communities. Prevention programs often carry implicit messages about personal responsibility that may conflict with cultural values emphasizing acceptance, community, and skepticism toward expert authority. Food culture in particular carries emotional and social meaning that nutrition education ignores. </w:t>
      </w:r>
      <w:r>
        <w:rPr>
          <w:rStyle w:val="Emphasis"/>
        </w:rPr>
        <w:t>Telling people their traditional diet kills them produces resistance rather than change.</w:t>
      </w:r>
    </w:p>
    <w:p w14:paraId="3BFB800F" w14:textId="77777777" w:rsidR="00042287" w:rsidRDefault="00194383">
      <w:pPr>
        <w:pStyle w:val="Heading1"/>
      </w:pPr>
      <w:bookmarkStart w:id="4" w:name="what-actually-works"/>
      <w:bookmarkEnd w:id="3"/>
      <w:r>
        <w:t>What Actually Works</w:t>
      </w:r>
    </w:p>
    <w:p w14:paraId="3A6C8EF3" w14:textId="77777777" w:rsidR="00042287" w:rsidRDefault="00194383">
      <w:r>
        <w:t>Some prevention approaches show better results than typical lifestyle intervention programs. Examining what distinguishes more effective approaches provides guidance for transformation investments.</w:t>
      </w:r>
    </w:p>
    <w:p w14:paraId="71B4CF66" w14:textId="77777777" w:rsidR="00042287" w:rsidRDefault="00194383">
      <w:r>
        <w:rPr>
          <w:rStyle w:val="Emphasis"/>
        </w:rPr>
        <w:t>Environmental interventions</w:t>
      </w:r>
      <w:r>
        <w:t xml:space="preserve"> that change default options outperform individual counseling. Worksites that make healthy food the convenient choice, remove sugary drinks from vending machines, and structure physical activity into the workday show sustained effects. Schools with comprehensive wellness policies </w:t>
      </w:r>
      <w:r>
        <w:lastRenderedPageBreak/>
        <w:t xml:space="preserve">produce better outcomes than schools with health education alone. </w:t>
      </w:r>
      <w:r>
        <w:rPr>
          <w:rStyle w:val="Emphasis"/>
        </w:rPr>
        <w:t>Changing environments rather than changing individuals within unchanged environments yields more durable results.</w:t>
      </w:r>
    </w:p>
    <w:p w14:paraId="40857510" w14:textId="77777777" w:rsidR="00042287" w:rsidRDefault="00194383">
      <w:r>
        <w:rPr>
          <w:rStyle w:val="Emphasis"/>
        </w:rPr>
        <w:t>Community health worker programs</w:t>
      </w:r>
      <w:r>
        <w:t xml:space="preserve"> that embed prevention in existing social networks and cultural contexts show promise in rural settings. Promotoras and lay health workers deliver prevention messages through trusted relationships, adapt content to local circumstances, and provide ongoing support that professional staff cannot sustain. Evidence indicates these approaches improve diabetes self-management and may improve prevention, though rigorous rural trials remain limited.</w:t>
      </w:r>
    </w:p>
    <w:p w14:paraId="5AE8CE23" w14:textId="77777777" w:rsidR="00042287" w:rsidRDefault="00194383">
      <w:r>
        <w:rPr>
          <w:rStyle w:val="Emphasis"/>
        </w:rPr>
        <w:t>Policy interventions</w:t>
      </w:r>
      <w:r>
        <w:t xml:space="preserve"> addressing underlying determinants show population-level effects that individual programs cannot achieve. Tobacco taxation and smoke-free policies reduced smoking more than cessation counseling. Sugar-sweetened beverage taxes show early evidence of reduced consumption. </w:t>
      </w:r>
      <w:r>
        <w:rPr>
          <w:rStyle w:val="Emphasis"/>
        </w:rPr>
        <w:t>Food environment policies requiring grocery stores or limiting fast food outlets may affect dietary patterns more than nutrition education.</w:t>
      </w:r>
    </w:p>
    <w:p w14:paraId="30390110" w14:textId="77777777" w:rsidR="00042287" w:rsidRDefault="00194383">
      <w:r>
        <w:rPr>
          <w:rStyle w:val="Emphasis"/>
        </w:rPr>
        <w:t>Healthcare system interventions</w:t>
      </w:r>
      <w:r>
        <w:t xml:space="preserve"> that integrate prevention into routine care reach populations that standalone programs miss. Systematic screening, prediabetes registries, and automatic referral to diabetes prevention programs increase reach. Payment models that reward prevention outcomes rather than treatment volume align incentives. Electronic health record tools that prompt preventive care reduce reliance on patient self-referral.</w:t>
      </w:r>
    </w:p>
    <w:p w14:paraId="15EA8F51" w14:textId="77777777" w:rsidR="00042287" w:rsidRDefault="00194383">
      <w:r>
        <w:t>Yet even these more promising approaches face rural implementation challenges. Environmental interventions require resources and authority that rural communities often lack. Community health worker programs require sustainable funding that project grants do not provide. Policy interventions require political will that rural constituencies often do not support. Healthcare system interventions require infrastructure that rural health systems struggle to maintain.</w:t>
      </w:r>
    </w:p>
    <w:p w14:paraId="6288DB5C" w14:textId="77777777" w:rsidR="00042287" w:rsidRDefault="00194383">
      <w:pPr>
        <w:pStyle w:val="Heading1"/>
      </w:pPr>
      <w:bookmarkStart w:id="5" w:name="transformation-implications"/>
      <w:bookmarkEnd w:id="4"/>
      <w:r>
        <w:t>Transformation Implications</w:t>
      </w:r>
    </w:p>
    <w:p w14:paraId="37543675" w14:textId="77777777" w:rsidR="00042287" w:rsidRDefault="00194383">
      <w:r>
        <w:t xml:space="preserve">RHTP investments in chronic disease prevention should proceed with clear-eyed assessment of likely returns. </w:t>
      </w:r>
      <w:r>
        <w:rPr>
          <w:rStyle w:val="Emphasis"/>
        </w:rPr>
        <w:t>Prevention programs demonstrating efficacy in controlled trials will show attenuated effects in rural community implementation.</w:t>
      </w:r>
      <w:r>
        <w:t xml:space="preserve"> This is not a reason to abandon prevention but a reason to calibrate expectations and design programs for rural realities rather than clinical trial conditions.</w:t>
      </w:r>
    </w:p>
    <w:p w14:paraId="34B9FEC5" w14:textId="77777777" w:rsidR="00042287" w:rsidRDefault="00194383">
      <w:r>
        <w:t xml:space="preserve">Several principles should guide transformation planning. First, </w:t>
      </w:r>
      <w:r>
        <w:rPr>
          <w:rStyle w:val="Emphasis"/>
        </w:rPr>
        <w:t>prioritize environmental and policy interventions over individual behavior change programs</w:t>
      </w:r>
      <w:r>
        <w:t xml:space="preserve"> when possible. Changing food environments, built environments, and economic conditions produces more durable population health improvement than counseling individuals to make healthy choices in unhealthy environments.</w:t>
      </w:r>
    </w:p>
    <w:p w14:paraId="5E6FA45B" w14:textId="77777777" w:rsidR="00042287" w:rsidRDefault="00194383">
      <w:r>
        <w:t xml:space="preserve">Second, </w:t>
      </w:r>
      <w:r>
        <w:rPr>
          <w:rStyle w:val="Emphasis"/>
        </w:rPr>
        <w:t>integrate prevention into healthcare delivery rather than positioning it as separate programs.</w:t>
      </w:r>
      <w:r>
        <w:t xml:space="preserve"> Rural residents who will not attend standalone diabetes prevention classes may engage with prevention messages delivered through primary care, pharmacy consultations, or home health visits. Embedding prevention in existing care relationships extends reach.</w:t>
      </w:r>
    </w:p>
    <w:p w14:paraId="7C011A43" w14:textId="77777777" w:rsidR="00042287" w:rsidRDefault="00194383">
      <w:r>
        <w:t xml:space="preserve">Third, </w:t>
      </w:r>
      <w:r>
        <w:rPr>
          <w:rStyle w:val="Emphasis"/>
        </w:rPr>
        <w:t>invest in community health worker infrastructure with sustainable funding.</w:t>
      </w:r>
      <w:r>
        <w:t xml:space="preserve"> One-time grants for community health worker programs create capacity that disappears when grants end. Medicaid reimbursement for community health worker services provides sustainable funding, but requires state plan amendments and payment infrastructure that many states have not established.</w:t>
      </w:r>
    </w:p>
    <w:p w14:paraId="5159690F" w14:textId="77777777" w:rsidR="00042287" w:rsidRDefault="00194383">
      <w:r>
        <w:t xml:space="preserve">Fourth, </w:t>
      </w:r>
      <w:r>
        <w:rPr>
          <w:rStyle w:val="Emphasis"/>
        </w:rPr>
        <w:t>address food access as health infrastructure.</w:t>
      </w:r>
      <w:r>
        <w:t xml:space="preserve"> Rural food deserts represent health care access problems as surely as physician shortages. RHTP flexibility to invest in food access interventions, including mobile markets, community gardens, and incentives for grocery store development, may produce health returns exceeding equivalent investments in clinical prevention programs.</w:t>
      </w:r>
    </w:p>
    <w:p w14:paraId="6E2053DD" w14:textId="77777777" w:rsidR="00042287" w:rsidRDefault="00194383">
      <w:r>
        <w:t xml:space="preserve">Fifth, </w:t>
      </w:r>
      <w:r>
        <w:rPr>
          <w:rStyle w:val="Emphasis"/>
        </w:rPr>
        <w:t>acknowledge prevention’s limits honestly.</w:t>
      </w:r>
      <w:r>
        <w:t xml:space="preserve"> Prevention cannot overcome decades of economic decline, environmental degradation, and social fragmentation that drove rural chronic disease burden to current levels. </w:t>
      </w:r>
      <w:r>
        <w:rPr>
          <w:rStyle w:val="Emphasis"/>
        </w:rPr>
        <w:t>Transformation planning should invest in prevention while avoiding claims that prevention alone will transform rural health outcomes.</w:t>
      </w:r>
    </w:p>
    <w:p w14:paraId="693E494E" w14:textId="77777777" w:rsidR="00042287" w:rsidRDefault="00194383">
      <w:pPr>
        <w:pStyle w:val="Heading1"/>
      </w:pPr>
      <w:bookmarkStart w:id="6" w:name="conclusion"/>
      <w:bookmarkEnd w:id="5"/>
      <w:r>
        <w:lastRenderedPageBreak/>
        <w:t>Conclusion</w:t>
      </w:r>
    </w:p>
    <w:p w14:paraId="158F37A4" w14:textId="77777777" w:rsidR="00042287" w:rsidRDefault="00194383">
      <w:r>
        <w:t>The prevention promise remains valid: preventing disease produces better outcomes than treating disease, upstream intervention costs less than downstream rescue, and evidence supports specific interventions that reduce chronic disease incidence. Nothing in this analysis disputes those foundations.</w:t>
      </w:r>
    </w:p>
    <w:p w14:paraId="32563D2F" w14:textId="77777777" w:rsidR="00042287" w:rsidRDefault="00194383">
      <w:r>
        <w:t xml:space="preserve">The prevention failure also remains real: population-level chronic disease rates continue rising despite decades of prevention investment, rural communities face higher burden despite disproportionate need, and translation from efficacy to effectiveness consistently disappoints. </w:t>
      </w:r>
      <w:r>
        <w:rPr>
          <w:rStyle w:val="Emphasis"/>
        </w:rPr>
        <w:t>Understanding why prevention fails matters as much as documenting that it works in principle.</w:t>
      </w:r>
    </w:p>
    <w:p w14:paraId="31760D2A" w14:textId="77777777" w:rsidR="00042287" w:rsidRDefault="00194383">
      <w:r>
        <w:t xml:space="preserve">Rural health transformation should invest in chronic disease prevention while acknowledging structural barriers that limit program effectiveness. Environmental interventions, community health worker programs, healthcare integration, and policy approaches offer more promise than standard lifestyle intervention programs that assume resources and circumstances rural residents lack. But even optimized prevention cannot overcome the economic and social conditions that produced rural chronic disease burden. </w:t>
      </w:r>
      <w:r>
        <w:rPr>
          <w:rStyle w:val="Emphasis"/>
        </w:rPr>
        <w:t>Prevention is necessary but not sufficient for transformation.</w:t>
      </w:r>
    </w:p>
    <w:p w14:paraId="18E3DCFA" w14:textId="77777777" w:rsidR="00042287" w:rsidRDefault="00194383">
      <w:pPr>
        <w:pStyle w:val="Heading1"/>
      </w:pPr>
      <w:bookmarkStart w:id="7" w:name="cross-references"/>
      <w:bookmarkEnd w:id="6"/>
      <w:r>
        <w:t>Cross-References</w:t>
      </w:r>
    </w:p>
    <w:p w14:paraId="78A118B1" w14:textId="77777777" w:rsidR="00042287" w:rsidRDefault="00194383">
      <w:r>
        <w:rPr>
          <w:rStyle w:val="Emphasis"/>
        </w:rPr>
        <w:t>4H Social Needs Integration:</w:t>
      </w:r>
      <w:r>
        <w:t xml:space="preserve"> SDOH screening and intervention evidence, including food insecurity and transportation barriers affecting chronic disease outcomes.</w:t>
      </w:r>
    </w:p>
    <w:p w14:paraId="573D2F24" w14:textId="77777777" w:rsidR="00042287" w:rsidRDefault="00194383">
      <w:r>
        <w:rPr>
          <w:rStyle w:val="Emphasis"/>
        </w:rPr>
        <w:t>7C Federally Qualified Health Centers:</w:t>
      </w:r>
      <w:r>
        <w:t xml:space="preserve"> Primary care capacity for chronic disease prevention and management in safety net settings.</w:t>
      </w:r>
    </w:p>
    <w:p w14:paraId="61466732" w14:textId="77777777" w:rsidR="00042287" w:rsidRDefault="00194383">
      <w:r>
        <w:rPr>
          <w:rStyle w:val="Emphasis"/>
        </w:rPr>
        <w:t>1F Food and Nutrition:</w:t>
      </w:r>
      <w:r>
        <w:t xml:space="preserve"> Detailed analysis of rural food environments, food insecurity patterns, and dietary determinants of chronic disease.</w:t>
      </w:r>
    </w:p>
    <w:p w14:paraId="64F1D150" w14:textId="77777777" w:rsidR="00042287" w:rsidRDefault="00194383">
      <w:r>
        <w:rPr>
          <w:rStyle w:val="Emphasis"/>
        </w:rPr>
        <w:t>10C Black Belt:</w:t>
      </w:r>
      <w:r>
        <w:t xml:space="preserve"> Regional deep dive on concentrated chronic disease burden, including diabetes, hypertension, and obesity in Alabama’s rural counties.</w:t>
      </w:r>
    </w:p>
    <w:p w14:paraId="2BF7D656" w14:textId="77777777" w:rsidR="00042287" w:rsidRDefault="00194383">
      <w:r>
        <w:rPr>
          <w:rStyle w:val="Emphasis"/>
        </w:rPr>
        <w:t>11A Disease Burden:</w:t>
      </w:r>
      <w:r>
        <w:t xml:space="preserve"> Foundational mortality data establishing chronic disease as leading cause of rural excess deaths.</w:t>
      </w:r>
    </w:p>
    <w:p w14:paraId="5DE666C6" w14:textId="77777777" w:rsidR="00042287" w:rsidRDefault="00194383">
      <w:pPr>
        <w:pStyle w:val="Heading1"/>
      </w:pPr>
      <w:bookmarkStart w:id="8" w:name="sources"/>
      <w:bookmarkEnd w:id="7"/>
      <w:r>
        <w:t>Sources</w:t>
      </w:r>
    </w:p>
    <w:p w14:paraId="6B01A959" w14:textId="77777777" w:rsidR="00042287" w:rsidRDefault="00194383">
      <w:r>
        <w:t xml:space="preserve">Benavidez, Giselle A., et al. “Chronic Disease Prevalence in the US: Sociodemographic and Geographic Variations by Zip Code Tabulation Area.” </w:t>
      </w:r>
      <w:r>
        <w:rPr>
          <w:i/>
          <w:iCs/>
        </w:rPr>
        <w:t>Preventing Chronic Disease</w:t>
      </w:r>
      <w:r>
        <w:t>, vol. 21, 2024, 230267.</w:t>
      </w:r>
    </w:p>
    <w:p w14:paraId="39CA98FE" w14:textId="77777777" w:rsidR="00042287" w:rsidRDefault="00194383">
      <w:r>
        <w:t xml:space="preserve">Centers for Disease Control and Prevention. “Obesity and Severe Obesity Prevalence in Adults: United States, August 2021-August 2023.” </w:t>
      </w:r>
      <w:r>
        <w:rPr>
          <w:i/>
          <w:iCs/>
        </w:rPr>
        <w:t>NCHS Data Brief</w:t>
      </w:r>
      <w:r>
        <w:t>, no. 508, September 2024.</w:t>
      </w:r>
    </w:p>
    <w:p w14:paraId="2C5C2436" w14:textId="77777777" w:rsidR="00042287" w:rsidRDefault="00194383">
      <w:r>
        <w:t>Centers for Disease Control and Prevention. “Preventing Chronic Diseases and Promoting Health in Rural Communities.” National Center for Chronic Disease Prevention and Health Promotion, December 2024.</w:t>
      </w:r>
    </w:p>
    <w:p w14:paraId="65E60095" w14:textId="77777777" w:rsidR="00042287" w:rsidRDefault="00194383">
      <w:r>
        <w:t xml:space="preserve">Khavjou, Olga, et al. “Rural-Urban Disparities in State-Level Diabetes Prevalence Among US Adults, 2021.” </w:t>
      </w:r>
      <w:r>
        <w:rPr>
          <w:i/>
          <w:iCs/>
        </w:rPr>
        <w:t>Preventing Chronic Disease</w:t>
      </w:r>
      <w:r>
        <w:t>, vol. 22, 2025, 240199.</w:t>
      </w:r>
    </w:p>
    <w:p w14:paraId="43B15395" w14:textId="77777777" w:rsidR="00042287" w:rsidRDefault="00194383">
      <w:r>
        <w:t xml:space="preserve">Ahmed, Mubashir, et al. “Rising Mortality Related to Diabetes Mellitus and Hypertension: Trends and Disparities in the United States (1999-2023).” </w:t>
      </w:r>
      <w:r>
        <w:rPr>
          <w:i/>
          <w:iCs/>
        </w:rPr>
        <w:t>Endocrinology, Diabetes &amp; Metabolism</w:t>
      </w:r>
      <w:r>
        <w:t>, 2025.</w:t>
      </w:r>
    </w:p>
    <w:p w14:paraId="04E053D9" w14:textId="77777777" w:rsidR="00042287" w:rsidRDefault="00194383">
      <w:r>
        <w:t xml:space="preserve">Ahmed, Mubashir, et al. “Rising Mortality Rates Linked to Type-2 Diabetes and Obesity in the United States: An Observational Analysis From 1999 to 2022.” </w:t>
      </w:r>
      <w:r>
        <w:rPr>
          <w:i/>
          <w:iCs/>
        </w:rPr>
        <w:t>Journal of Diabetes Investigation</w:t>
      </w:r>
      <w:r>
        <w:t>, vol. 16, no. 3, 2024, pp. 492-500.</w:t>
      </w:r>
    </w:p>
    <w:p w14:paraId="2CFD61B5" w14:textId="77777777" w:rsidR="00042287" w:rsidRDefault="00194383">
      <w:r>
        <w:t xml:space="preserve">Diabetes Prevention Program Research Group. “Reduction in the Incidence of Type 2 Diabetes with Lifestyle Intervention or Metformin.” </w:t>
      </w:r>
      <w:r>
        <w:rPr>
          <w:i/>
          <w:iCs/>
        </w:rPr>
        <w:t>New England Journal of Medicine</w:t>
      </w:r>
      <w:r>
        <w:t>, vol. 346, no. 6, 2002, pp. 393-403.</w:t>
      </w:r>
    </w:p>
    <w:p w14:paraId="0F9A273C" w14:textId="77777777" w:rsidR="00042287" w:rsidRDefault="00194383">
      <w:r>
        <w:t xml:space="preserve">Saiki, Katherine, et al. “Recruitment and Retention in the National Diabetes Prevention Program Lifestyle Change Program in Two Federally Qualified Health Centers in Rural Hawaii.” </w:t>
      </w:r>
      <w:r>
        <w:rPr>
          <w:i/>
          <w:iCs/>
        </w:rPr>
        <w:t>Preventing Chronic Disease</w:t>
      </w:r>
      <w:r>
        <w:t>, vol. 21, 2024, 240156.</w:t>
      </w:r>
    </w:p>
    <w:bookmarkEnd w:id="8"/>
    <w:sectPr w:rsidR="0004228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7FD80" w14:textId="77777777" w:rsidR="00194383" w:rsidRDefault="00194383">
      <w:pPr>
        <w:spacing w:before="0" w:line="240" w:lineRule="auto"/>
      </w:pPr>
      <w:r>
        <w:separator/>
      </w:r>
    </w:p>
  </w:endnote>
  <w:endnote w:type="continuationSeparator" w:id="0">
    <w:p w14:paraId="2AD1BF5B" w14:textId="77777777" w:rsidR="00194383" w:rsidRDefault="0019438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Next LT Pro">
    <w:altName w:val="Calibri"/>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4F18" w14:textId="77777777" w:rsidR="00194383" w:rsidRDefault="00194383" w:rsidP="000F4A8A">
    <w:pPr>
      <w:pStyle w:val="Footer"/>
    </w:pPr>
    <w:r>
      <w:rPr>
        <w:noProof/>
        <w14:ligatures w14:val="standardContextual"/>
      </w:rPr>
      <mc:AlternateContent>
        <mc:Choice Requires="wps">
          <w:drawing>
            <wp:anchor distT="0" distB="0" distL="114300" distR="114300" simplePos="0" relativeHeight="251657216" behindDoc="0" locked="0" layoutInCell="1" allowOverlap="1" wp14:anchorId="2416F9D9" wp14:editId="54DAE18F">
              <wp:simplePos x="0" y="0"/>
              <wp:positionH relativeFrom="margin">
                <wp:align>right</wp:align>
              </wp:positionH>
              <wp:positionV relativeFrom="paragraph">
                <wp:posOffset>-56318</wp:posOffset>
              </wp:positionV>
              <wp:extent cx="5928303" cy="3399"/>
              <wp:effectExtent l="0" t="0" r="34925" b="34925"/>
              <wp:wrapNone/>
              <wp:docPr id="1330319518" name="Straight Connector 4"/>
              <wp:cNvGraphicFramePr/>
              <a:graphic xmlns:a="http://schemas.openxmlformats.org/drawingml/2006/main">
                <a:graphicData uri="http://schemas.microsoft.com/office/word/2010/wordprocessingShape">
                  <wps:wsp>
                    <wps:cNvCnPr/>
                    <wps:spPr>
                      <a:xfrm flipV="1">
                        <a:off x="0" y="0"/>
                        <a:ext cx="5928303" cy="339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57F177" id="Straight Connector 4" o:spid="_x0000_s1026" style="position:absolute;flip: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5.6pt,-4.45pt" to="882.4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" strokecolor="#156082 [3204]" strokeweight=".5pt">
              <v:stroke joinstyle="miter"/>
              <w10:wrap anchorx="margin"/>
            </v:line>
          </w:pict>
        </mc:Fallback>
      </mc:AlternateContent>
    </w:r>
    <w:r>
      <w:rPr>
        <w:noProof/>
      </w:rPr>
      <mc:AlternateContent>
        <mc:Choice Requires="wps">
          <w:drawing>
            <wp:anchor distT="45720" distB="45720" distL="114300" distR="114300" simplePos="0" relativeHeight="251658240" behindDoc="0" locked="0" layoutInCell="1" allowOverlap="1" wp14:anchorId="39B40326" wp14:editId="768430D3">
              <wp:simplePos x="0" y="0"/>
              <wp:positionH relativeFrom="margin">
                <wp:align>left</wp:align>
              </wp:positionH>
              <wp:positionV relativeFrom="paragraph">
                <wp:posOffset>-25726</wp:posOffset>
              </wp:positionV>
              <wp:extent cx="4538007" cy="23769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8007" cy="237691"/>
                      </a:xfrm>
                      <a:prstGeom prst="rect">
                        <a:avLst/>
                      </a:prstGeom>
                      <a:solidFill>
                        <a:srgbClr val="FFFFFF"/>
                      </a:solidFill>
                      <a:ln w="9525">
                        <a:noFill/>
                        <a:miter lim="800000"/>
                        <a:headEnd/>
                        <a:tailEnd/>
                      </a:ln>
                    </wps:spPr>
                    <wps:txbx>
                      <w:txbxContent>
                        <w:p w14:paraId="37864CBF" w14:textId="77777777" w:rsidR="00194383" w:rsidRPr="00B31822" w:rsidRDefault="00194383"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363AFB44" w14:textId="77777777" w:rsidR="00194383" w:rsidRPr="00B31822" w:rsidRDefault="00194383" w:rsidP="000F4A8A">
                          <w:pPr>
                            <w:spacing w:before="0" w:line="240" w:lineRule="auto"/>
                            <w:ind w:left="-144"/>
                            <w:rPr>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B40326" id="_x0000_t202" coordsize="21600,21600" o:spt="202" path="m,l,21600r21600,l21600,xe">
              <v:stroke joinstyle="miter"/>
              <v:path gradientshapeok="t" o:connecttype="rect"/>
            </v:shapetype>
            <v:shape id="_x0000_s1032" type="#_x0000_t202" style="position:absolute;margin-left:0;margin-top:-2.05pt;width:357.3pt;height:18.7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LP9EQIAAP0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" stroked="f">
              <v:textbox>
                <w:txbxContent>
                  <w:p w14:paraId="37864CBF" w14:textId="77777777" w:rsidR="00194383" w:rsidRPr="00B31822" w:rsidRDefault="00194383" w:rsidP="000F4A8A">
                    <w:pPr>
                      <w:pStyle w:val="Footer"/>
                      <w:ind w:left="-144"/>
                      <w:rPr>
                        <w:color w:val="156082" w:themeColor="accent1"/>
                        <w:lang w:val="fr-FR"/>
                      </w:rPr>
                    </w:pPr>
                    <w:r w:rsidRPr="00B31822">
                      <w:rPr>
                        <w:color w:val="156082" w:themeColor="accent1"/>
                        <w:lang w:val="fr-FR"/>
                      </w:rPr>
                      <w:t xml:space="preserve">2002 N. Lois Avenue, Suite 200, Tampa, FL 33607 | GroundGame.Health               </w:t>
                    </w:r>
                  </w:p>
                  <w:p w14:paraId="363AFB44" w14:textId="77777777" w:rsidR="00194383" w:rsidRPr="00B31822" w:rsidRDefault="00194383" w:rsidP="000F4A8A">
                    <w:pPr>
                      <w:spacing w:before="0" w:line="240" w:lineRule="auto"/>
                      <w:ind w:left="-144"/>
                      <w:rPr>
                        <w:color w:val="156082" w:themeColor="accent1"/>
                      </w:rPr>
                    </w:pPr>
                  </w:p>
                </w:txbxContent>
              </v:textbox>
              <w10:wrap anchorx="margin"/>
            </v:shape>
          </w:pict>
        </mc:Fallback>
      </mc:AlternateContent>
    </w:r>
    <w:r>
      <w:tab/>
    </w:r>
    <w:r>
      <w:tab/>
    </w:r>
  </w:p>
  <w:p w14:paraId="69101466" w14:textId="77777777" w:rsidR="00194383" w:rsidRPr="00E71036" w:rsidRDefault="00194383" w:rsidP="000F4A8A">
    <w:pPr>
      <w:pStyle w:val="Footer"/>
      <w:jc w:val="right"/>
      <w:rPr>
        <w:i/>
        <w:iCs/>
        <w:sz w:val="16"/>
        <w:szCs w:val="16"/>
      </w:rPr>
    </w:pPr>
    <w:r>
      <w:rPr>
        <w:noProof/>
      </w:rPr>
      <mc:AlternateContent>
        <mc:Choice Requires="wps">
          <w:drawing>
            <wp:anchor distT="45720" distB="45720" distL="114300" distR="114300" simplePos="0" relativeHeight="251659264" behindDoc="0" locked="0" layoutInCell="1" allowOverlap="1" wp14:anchorId="44EDD346" wp14:editId="4669BCC8">
              <wp:simplePos x="0" y="0"/>
              <wp:positionH relativeFrom="margin">
                <wp:align>right</wp:align>
              </wp:positionH>
              <wp:positionV relativeFrom="paragraph">
                <wp:posOffset>96745</wp:posOffset>
              </wp:positionV>
              <wp:extent cx="4129405" cy="253584"/>
              <wp:effectExtent l="0" t="0" r="0" b="0"/>
              <wp:wrapNone/>
              <wp:docPr id="18688810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253584"/>
                      </a:xfrm>
                      <a:prstGeom prst="rect">
                        <a:avLst/>
                      </a:prstGeom>
                      <a:noFill/>
                      <a:ln w="9525">
                        <a:noFill/>
                        <a:miter lim="800000"/>
                        <a:headEnd/>
                        <a:tailEnd/>
                      </a:ln>
                    </wps:spPr>
                    <wps:txbx>
                      <w:txbxContent>
                        <w:p w14:paraId="3EDD263C" w14:textId="77777777" w:rsidR="00194383" w:rsidRPr="00046EE7" w:rsidRDefault="00194383"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DD346" id="_x0000_s1033" type="#_x0000_t202" style="position:absolute;left:0;text-align:left;margin-left:273.95pt;margin-top:7.6pt;width:325.15pt;height:19.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" filled="f" stroked="f">
              <v:textbox>
                <w:txbxContent>
                  <w:p w14:paraId="3EDD263C" w14:textId="77777777" w:rsidR="00194383" w:rsidRPr="00046EE7" w:rsidRDefault="00194383" w:rsidP="000F4A8A">
                    <w:pPr>
                      <w:spacing w:before="0" w:line="240" w:lineRule="auto"/>
                      <w:jc w:val="right"/>
                      <w:rPr>
                        <w:i/>
                        <w:iCs/>
                        <w:szCs w:val="20"/>
                      </w:rPr>
                    </w:pPr>
                    <w:r w:rsidRPr="00B07560">
                      <w:t>Syam Adusumilli,</w:t>
                    </w:r>
                    <w:r>
                      <w:t xml:space="preserve"> </w:t>
                    </w:r>
                    <w:r w:rsidRPr="00B07560">
                      <w:t>Chief</w:t>
                    </w:r>
                    <w:r>
                      <w:t xml:space="preserve"> E</w:t>
                    </w:r>
                    <w:r w:rsidRPr="00B07560">
                      <w:t>vangelist</w:t>
                    </w:r>
                    <w:r>
                      <w:t xml:space="preserve">, </w:t>
                    </w:r>
                    <w:r>
                      <w:rPr>
                        <w:i/>
                        <w:iCs/>
                        <w:szCs w:val="20"/>
                      </w:rPr>
                      <w:t>s</w:t>
                    </w:r>
                    <w:r w:rsidRPr="00046EE7">
                      <w:rPr>
                        <w:i/>
                        <w:iCs/>
                        <w:szCs w:val="20"/>
                      </w:rPr>
                      <w:t>yam.a@groundgame.health</w:t>
                    </w:r>
                  </w:p>
                </w:txbxContent>
              </v:textbox>
              <w10:wrap anchorx="margin"/>
            </v:shape>
          </w:pict>
        </mc:Fallback>
      </mc:AlternateContent>
    </w:r>
  </w:p>
  <w:p w14:paraId="28EB7BE0" w14:textId="77777777" w:rsidR="00194383" w:rsidRPr="006D16AB" w:rsidRDefault="00194383" w:rsidP="006D16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CD6A1" w14:textId="77777777" w:rsidR="00042287" w:rsidRDefault="00194383">
      <w:r>
        <w:separator/>
      </w:r>
    </w:p>
  </w:footnote>
  <w:footnote w:type="continuationSeparator" w:id="0">
    <w:p w14:paraId="79659225" w14:textId="77777777" w:rsidR="00042287" w:rsidRDefault="00194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884A" w14:textId="77777777" w:rsidR="00194383" w:rsidRDefault="00194383">
    <w:pPr>
      <w:pStyle w:val="Header"/>
    </w:pPr>
    <w:r>
      <w:rPr>
        <w:noProof/>
      </w:rPr>
      <mc:AlternateContent>
        <mc:Choice Requires="wps">
          <w:drawing>
            <wp:anchor distT="45720" distB="45720" distL="114300" distR="114300" simplePos="0" relativeHeight="251656192" behindDoc="0" locked="0" layoutInCell="1" allowOverlap="1" wp14:anchorId="6EA4F216" wp14:editId="1CDF87CE">
              <wp:simplePos x="0" y="0"/>
              <wp:positionH relativeFrom="margin">
                <wp:posOffset>-57329</wp:posOffset>
              </wp:positionH>
              <wp:positionV relativeFrom="paragraph">
                <wp:posOffset>-227883</wp:posOffset>
              </wp:positionV>
              <wp:extent cx="4675192" cy="690044"/>
              <wp:effectExtent l="0" t="0" r="0" b="0"/>
              <wp:wrapNone/>
              <wp:docPr id="830690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5192" cy="690044"/>
                      </a:xfrm>
                      <a:prstGeom prst="rect">
                        <a:avLst/>
                      </a:prstGeom>
                      <a:solidFill>
                        <a:srgbClr val="FFFFFF"/>
                      </a:solidFill>
                      <a:ln w="9525">
                        <a:noFill/>
                        <a:miter lim="800000"/>
                        <a:headEnd/>
                        <a:tailEnd/>
                      </a:ln>
                    </wps:spPr>
                    <wps:txbx>
                      <w:txbxContent>
                        <w:p w14:paraId="315FDEEC" w14:textId="77777777" w:rsidR="00042287" w:rsidRDefault="00194383">
                          <w:pPr>
                            <w:pStyle w:val="Title"/>
                            <w:rPr>
                              <w:rFonts w:ascii="Aptos Display" w:hAnsi="Aptos Display"/>
                              <w:sz w:val="22"/>
                              <w:szCs w:val="22"/>
                            </w:rPr>
                          </w:pPr>
                          <w:r>
                            <w:rPr>
                              <w:rFonts w:ascii="Aptos Display" w:hAnsi="Aptos Display"/>
                              <w:sz w:val="22"/>
                              <w:szCs w:val="22"/>
                            </w:rPr>
                            <w:t>RHTP 11.D:</w:t>
                          </w:r>
                        </w:p>
                        <w:p w14:paraId="45F7E1D8" w14:textId="77777777" w:rsidR="00042287" w:rsidRDefault="00194383">
                          <w:pPr>
                            <w:pStyle w:val="Title"/>
                            <w:rPr>
                              <w:rFonts w:ascii="Aptos Display" w:hAnsi="Aptos Display"/>
                              <w:sz w:val="28"/>
                              <w:szCs w:val="28"/>
                            </w:rPr>
                          </w:pPr>
                          <w:r>
                            <w:rPr>
                              <w:rFonts w:ascii="Aptos Display" w:hAnsi="Aptos Display"/>
                              <w:sz w:val="28"/>
                              <w:szCs w:val="28"/>
                            </w:rPr>
                            <w:t>Chronic Disease and Prevention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A4F216" id="_x0000_t202" coordsize="21600,21600" o:spt="202" path="m,l,21600r21600,l21600,xe">
              <v:stroke joinstyle="miter"/>
              <v:path gradientshapeok="t" o:connecttype="rect"/>
            </v:shapetype>
            <v:shape id="Text Box 2" o:spid="_x0000_s1026" type="#_x0000_t202" style="position:absolute;margin-left:-4.5pt;margin-top:-17.95pt;width:368.15pt;height:54.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1hxDQIAAPYDAAAOAAAAZHJzL2Uyb0RvYy54bWysU9uO2yAQfa/Uf0C8N3YiJ7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" stroked="f">
              <v:textbox>
                <w:txbxContent>
                  <w:p w14:paraId="315FDEEC" w14:textId="77777777" w:rsidR="00042287" w:rsidRDefault="00194383">
                    <w:pPr>
                      <w:pStyle w:val="Title"/>
                      <w:rPr>
                        <w:rFonts w:ascii="Aptos Display" w:hAnsi="Aptos Display"/>
                        <w:sz w:val="22"/>
                        <w:szCs w:val="22"/>
                      </w:rPr>
                    </w:pPr>
                    <w:r>
                      <w:rPr>
                        <w:rFonts w:ascii="Aptos Display" w:hAnsi="Aptos Display"/>
                        <w:sz w:val="22"/>
                        <w:szCs w:val="22"/>
                      </w:rPr>
                      <w:t>RHTP 11.D:</w:t>
                    </w:r>
                  </w:p>
                  <w:p w14:paraId="45F7E1D8" w14:textId="77777777" w:rsidR="00042287" w:rsidRDefault="00194383">
                    <w:pPr>
                      <w:pStyle w:val="Title"/>
                      <w:rPr>
                        <w:rFonts w:ascii="Aptos Display" w:hAnsi="Aptos Display"/>
                        <w:sz w:val="28"/>
                        <w:szCs w:val="28"/>
                      </w:rPr>
                    </w:pPr>
                    <w:r>
                      <w:rPr>
                        <w:rFonts w:ascii="Aptos Display" w:hAnsi="Aptos Display"/>
                        <w:sz w:val="28"/>
                        <w:szCs w:val="28"/>
                      </w:rPr>
                      <w:t>Chronic Disease and Prevention</w:t>
                    </w:r>
                  </w:p>
                </w:txbxContent>
              </v:textbox>
              <w10:wrap anchorx="margin"/>
            </v:shape>
          </w:pict>
        </mc:Fallback>
      </mc:AlternateContent>
    </w:r>
    <w:r>
      <w:rPr>
        <w:noProof/>
      </w:rPr>
      <w:drawing>
        <wp:anchor distT="0" distB="0" distL="114300" distR="114300" simplePos="0" relativeHeight="251660288" behindDoc="0" locked="0" layoutInCell="1" allowOverlap="1" wp14:anchorId="3F1AD434" wp14:editId="617C216A">
          <wp:simplePos x="0" y="0"/>
          <wp:positionH relativeFrom="margin">
            <wp:posOffset>4598984</wp:posOffset>
          </wp:positionH>
          <wp:positionV relativeFrom="paragraph">
            <wp:posOffset>55896</wp:posOffset>
          </wp:positionV>
          <wp:extent cx="1488387" cy="377940"/>
          <wp:effectExtent l="0" t="0" r="0" b="3175"/>
          <wp:wrapNone/>
          <wp:docPr id="599323403"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23403" name="Picture 2"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99462" cy="380752"/>
                  </a:xfrm>
                  <a:prstGeom prst="rect">
                    <a:avLst/>
                  </a:prstGeom>
                </pic:spPr>
              </pic:pic>
            </a:graphicData>
          </a:graphic>
          <wp14:sizeRelH relativeFrom="margin">
            <wp14:pctWidth>0</wp14:pctWidth>
          </wp14:sizeRelH>
          <wp14:sizeRelV relativeFrom="margin">
            <wp14:pctHeight>0</wp14:pctHeight>
          </wp14:sizeRelV>
        </wp:anchor>
      </w:drawing>
    </w:r>
    <w:sdt>
      <w:sdtPr>
        <w:id w:val="-1536042918"/>
        <w:docPartObj>
          <w:docPartGallery w:val="Page Numbers (Top of Page)"/>
          <w:docPartUnique/>
        </w:docPartObj>
      </w:sdtPr>
      <w:sdtEndPr/>
      <w:sdtContent>
        <w:r>
          <w:rPr>
            <w:noProof/>
          </w:rPr>
          <mc:AlternateContent>
            <mc:Choice Requires="wpg">
              <w:drawing>
                <wp:anchor distT="0" distB="0" distL="114300" distR="114300" simplePos="0" relativeHeight="251655168" behindDoc="0" locked="0" layoutInCell="0" allowOverlap="1" wp14:anchorId="5E55B916" wp14:editId="5571752B">
                  <wp:simplePos x="0" y="0"/>
                  <wp:positionH relativeFrom="rightMargin">
                    <wp:align>left</wp:align>
                  </wp:positionH>
                  <wp:positionV relativeFrom="margin">
                    <wp:align>top</wp:align>
                  </wp:positionV>
                  <wp:extent cx="902335" cy="1902460"/>
                  <wp:effectExtent l="0" t="9525" r="12065" b="2540"/>
                  <wp:wrapNone/>
                  <wp:docPr id="164101715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600616591" name="Group 7"/>
                          <wpg:cNvGrpSpPr>
                            <a:grpSpLocks/>
                          </wpg:cNvGrpSpPr>
                          <wpg:grpSpPr bwMode="auto">
                            <a:xfrm flipV="1">
                              <a:off x="13" y="14340"/>
                              <a:ext cx="1410" cy="71"/>
                              <a:chOff x="-83" y="540"/>
                              <a:chExt cx="1218" cy="71"/>
                            </a:xfrm>
                          </wpg:grpSpPr>
                          <wps:wsp>
                            <wps:cNvPr id="18209611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44095131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972406835"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1A010" w14:textId="77777777" w:rsidR="00194383" w:rsidRDefault="00194383">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5E55B916" id="Group 1" o:spid="_x0000_s1027" style="position:absolute;margin-left:0;margin-top:0;width:71.05pt;height:149.8pt;flip:x y;z-index:251655168;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" stroked="f">
                    <v:textbox style="layout-flow:vertical;mso-layout-flow-alt:bottom-to-top" inset="0,0,0,0">
                      <w:txbxContent>
                        <w:p w14:paraId="0161A010" w14:textId="77777777" w:rsidR="00194383" w:rsidRDefault="00194383">
                          <w:pPr>
                            <w:pStyle w:val="NoSpacing"/>
                            <w:jc w:val="right"/>
                          </w:pPr>
                          <w:r>
                            <w:fldChar w:fldCharType="begin"/>
                          </w:r>
                          <w:r>
                            <w:instrText xml:space="preserve"> PAGE    \* MERGEFORMAT </w:instrText>
                          </w:r>
                          <w:r>
                            <w:fldChar w:fldCharType="separate"/>
                          </w:r>
                          <w:r>
                            <w:rPr>
                              <w:b/>
                              <w:bCs/>
                              <w:noProof/>
                              <w:color w:val="0B769F" w:themeColor="accent4" w:themeShade="BF"/>
                              <w:sz w:val="52"/>
                              <w:szCs w:val="52"/>
                            </w:rPr>
                            <w:t>2</w:t>
                          </w:r>
                          <w:r>
                            <w:rPr>
                              <w:b/>
                              <w:bCs/>
                              <w:noProof/>
                              <w:color w:val="0B769F" w:themeColor="accent4" w:themeShade="BF"/>
                              <w:sz w:val="52"/>
                              <w:szCs w:val="52"/>
                            </w:rPr>
                            <w:fldChar w:fldCharType="end"/>
                          </w:r>
                        </w:p>
                      </w:txbxContent>
                    </v:textbox>
                  </v:rect>
                  <w10:wrap anchorx="margin" anchory="margin"/>
                </v:group>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623A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EC6D8C"/>
    <w:multiLevelType w:val="multilevel"/>
    <w:tmpl w:val="C10A1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A85140"/>
    <w:multiLevelType w:val="multilevel"/>
    <w:tmpl w:val="86A86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5A2656"/>
    <w:multiLevelType w:val="multilevel"/>
    <w:tmpl w:val="EF70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11D"/>
    <w:multiLevelType w:val="multilevel"/>
    <w:tmpl w:val="47F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37E"/>
    <w:multiLevelType w:val="multilevel"/>
    <w:tmpl w:val="D786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46BEA"/>
    <w:multiLevelType w:val="multilevel"/>
    <w:tmpl w:val="62A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67E"/>
    <w:multiLevelType w:val="multilevel"/>
    <w:tmpl w:val="A56C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E1BC6"/>
    <w:multiLevelType w:val="multilevel"/>
    <w:tmpl w:val="6DD4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77A9D"/>
    <w:multiLevelType w:val="multilevel"/>
    <w:tmpl w:val="615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34E7A"/>
    <w:multiLevelType w:val="multilevel"/>
    <w:tmpl w:val="EAA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56CD0"/>
    <w:multiLevelType w:val="multilevel"/>
    <w:tmpl w:val="5D0C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940E6"/>
    <w:multiLevelType w:val="multilevel"/>
    <w:tmpl w:val="EB1A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13777"/>
    <w:multiLevelType w:val="multilevel"/>
    <w:tmpl w:val="138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44F27"/>
    <w:multiLevelType w:val="multilevel"/>
    <w:tmpl w:val="B77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C26AF4"/>
    <w:multiLevelType w:val="multilevel"/>
    <w:tmpl w:val="D2326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E31E72"/>
    <w:multiLevelType w:val="multilevel"/>
    <w:tmpl w:val="50A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1110D"/>
    <w:multiLevelType w:val="multilevel"/>
    <w:tmpl w:val="9CF6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36A6D"/>
    <w:multiLevelType w:val="multilevel"/>
    <w:tmpl w:val="5D9EF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218B5"/>
    <w:multiLevelType w:val="multilevel"/>
    <w:tmpl w:val="1A1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E23A65"/>
    <w:multiLevelType w:val="multilevel"/>
    <w:tmpl w:val="D970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C56A55"/>
    <w:multiLevelType w:val="multilevel"/>
    <w:tmpl w:val="085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4D4CE1"/>
    <w:multiLevelType w:val="multilevel"/>
    <w:tmpl w:val="168C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8006B"/>
    <w:multiLevelType w:val="multilevel"/>
    <w:tmpl w:val="87E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5840FA"/>
    <w:multiLevelType w:val="multilevel"/>
    <w:tmpl w:val="DF72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26B1A"/>
    <w:multiLevelType w:val="multilevel"/>
    <w:tmpl w:val="3E2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2203">
    <w:abstractNumId w:val="24"/>
  </w:num>
  <w:num w:numId="2" w16cid:durableId="1550805610">
    <w:abstractNumId w:val="17"/>
  </w:num>
  <w:num w:numId="3" w16cid:durableId="30619172">
    <w:abstractNumId w:val="10"/>
  </w:num>
  <w:num w:numId="4" w16cid:durableId="1240483081">
    <w:abstractNumId w:val="11"/>
  </w:num>
  <w:num w:numId="5" w16cid:durableId="515266726">
    <w:abstractNumId w:val="6"/>
  </w:num>
  <w:num w:numId="6" w16cid:durableId="1067149170">
    <w:abstractNumId w:val="9"/>
  </w:num>
  <w:num w:numId="7" w16cid:durableId="608440070">
    <w:abstractNumId w:val="19"/>
  </w:num>
  <w:num w:numId="8" w16cid:durableId="1966036733">
    <w:abstractNumId w:val="4"/>
  </w:num>
  <w:num w:numId="9" w16cid:durableId="673845531">
    <w:abstractNumId w:val="22"/>
  </w:num>
  <w:num w:numId="10" w16cid:durableId="2038849076">
    <w:abstractNumId w:val="23"/>
  </w:num>
  <w:num w:numId="11" w16cid:durableId="263726929">
    <w:abstractNumId w:val="13"/>
  </w:num>
  <w:num w:numId="12" w16cid:durableId="2057654448">
    <w:abstractNumId w:val="3"/>
  </w:num>
  <w:num w:numId="13" w16cid:durableId="1227716637">
    <w:abstractNumId w:val="14"/>
  </w:num>
  <w:num w:numId="14" w16cid:durableId="372073819">
    <w:abstractNumId w:val="12"/>
  </w:num>
  <w:num w:numId="15" w16cid:durableId="1674145809">
    <w:abstractNumId w:val="5"/>
  </w:num>
  <w:num w:numId="16" w16cid:durableId="1752920396">
    <w:abstractNumId w:val="25"/>
  </w:num>
  <w:num w:numId="17" w16cid:durableId="1929608369">
    <w:abstractNumId w:val="16"/>
  </w:num>
  <w:num w:numId="18" w16cid:durableId="1768846872">
    <w:abstractNumId w:val="20"/>
  </w:num>
  <w:num w:numId="19" w16cid:durableId="760953169">
    <w:abstractNumId w:val="8"/>
  </w:num>
  <w:num w:numId="20" w16cid:durableId="262809403">
    <w:abstractNumId w:val="1"/>
  </w:num>
  <w:num w:numId="21" w16cid:durableId="1414474875">
    <w:abstractNumId w:val="18"/>
  </w:num>
  <w:num w:numId="22" w16cid:durableId="55591237">
    <w:abstractNumId w:val="21"/>
  </w:num>
  <w:num w:numId="23" w16cid:durableId="2093548021">
    <w:abstractNumId w:val="7"/>
  </w:num>
  <w:num w:numId="24" w16cid:durableId="1976400285">
    <w:abstractNumId w:val="15"/>
  </w:num>
  <w:num w:numId="25" w16cid:durableId="510527582">
    <w:abstractNumId w:val="2"/>
  </w:num>
  <w:num w:numId="26" w16cid:durableId="180592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87"/>
    <w:rsid w:val="00042287"/>
    <w:rsid w:val="00194383"/>
    <w:rsid w:val="00926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646D8"/>
  <w15:docId w15:val="{9237D3BB-4FB7-42B9-9980-596645EDE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407"/>
    <w:pPr>
      <w:spacing w:before="40" w:after="0" w:line="259" w:lineRule="auto"/>
    </w:pPr>
    <w:rPr>
      <w:rFonts w:eastAsiaTheme="minorEastAsia"/>
      <w:kern w:val="0"/>
      <w:sz w:val="20"/>
      <w:szCs w:val="22"/>
      <w14:ligatures w14:val="none"/>
    </w:rPr>
  </w:style>
  <w:style w:type="paragraph" w:styleId="Heading1">
    <w:name w:val="heading 1"/>
    <w:basedOn w:val="Normal"/>
    <w:next w:val="Normal"/>
    <w:link w:val="Heading1Char"/>
    <w:autoRedefine/>
    <w:uiPriority w:val="9"/>
    <w:qFormat/>
    <w:rsid w:val="00A56578"/>
    <w:pPr>
      <w:keepNext/>
      <w:keepLines/>
      <w:outlineLvl w:val="0"/>
    </w:pPr>
    <w:rPr>
      <w:rFonts w:asciiTheme="majorHAnsi" w:eastAsiaTheme="majorEastAsia" w:hAnsiTheme="majorHAnsi" w:cstheme="majorBidi"/>
      <w:color w:val="215E99" w:themeColor="text2" w:themeTint="BF"/>
      <w:kern w:val="2"/>
      <w:sz w:val="28"/>
      <w:szCs w:val="28"/>
      <w14:ligatures w14:val="standardContextual"/>
    </w:rPr>
  </w:style>
  <w:style w:type="paragraph" w:styleId="Heading2">
    <w:name w:val="heading 2"/>
    <w:basedOn w:val="Normal"/>
    <w:next w:val="Normal"/>
    <w:link w:val="Heading2Char"/>
    <w:autoRedefine/>
    <w:uiPriority w:val="9"/>
    <w:unhideWhenUsed/>
    <w:qFormat/>
    <w:rsid w:val="00E47B72"/>
    <w:pPr>
      <w:keepNext/>
      <w:keepLines/>
      <w:spacing w:after="80"/>
      <w:outlineLvl w:val="1"/>
    </w:pPr>
    <w:rPr>
      <w:rFonts w:asciiTheme="majorHAnsi" w:eastAsiaTheme="majorEastAsia" w:hAnsiTheme="majorHAnsi" w:cstheme="majorBidi"/>
      <w:color w:val="0B769F" w:themeColor="accent4" w:themeShade="BF"/>
      <w:kern w:val="2"/>
      <w:sz w:val="24"/>
      <w:szCs w:val="26"/>
      <w14:ligatures w14:val="standardContextual"/>
    </w:rPr>
  </w:style>
  <w:style w:type="paragraph" w:styleId="Heading3">
    <w:name w:val="heading 3"/>
    <w:basedOn w:val="Normal"/>
    <w:next w:val="Normal"/>
    <w:link w:val="Heading3Char"/>
    <w:autoRedefine/>
    <w:uiPriority w:val="9"/>
    <w:unhideWhenUsed/>
    <w:qFormat/>
    <w:rsid w:val="00D938B0"/>
    <w:pPr>
      <w:keepNext/>
      <w:keepLines/>
      <w:outlineLvl w:val="2"/>
    </w:pPr>
    <w:rPr>
      <w:rFonts w:eastAsiaTheme="majorEastAsia" w:cstheme="majorBidi"/>
      <w:b/>
      <w:bCs/>
      <w:i/>
      <w:color w:val="80340D" w:themeColor="accent2" w:themeShade="80"/>
      <w:kern w:val="2"/>
      <w:szCs w:val="24"/>
      <w14:ligatures w14:val="standardContextual"/>
    </w:rPr>
  </w:style>
  <w:style w:type="paragraph" w:styleId="Heading4">
    <w:name w:val="heading 4"/>
    <w:basedOn w:val="Normal"/>
    <w:next w:val="Normal"/>
    <w:link w:val="Heading4Char"/>
    <w:autoRedefine/>
    <w:uiPriority w:val="9"/>
    <w:semiHidden/>
    <w:unhideWhenUsed/>
    <w:qFormat/>
    <w:rsid w:val="00045B39"/>
    <w:pPr>
      <w:keepNext/>
      <w:keepLines/>
      <w:ind w:firstLine="720"/>
      <w:outlineLvl w:val="3"/>
    </w:pPr>
    <w:rPr>
      <w:rFonts w:eastAsiaTheme="majorEastAsia" w:cstheme="majorBidi"/>
      <w:b/>
      <w:bCs/>
      <w:iCs/>
      <w:kern w:val="2"/>
      <w:szCs w:val="24"/>
      <w14:ligatures w14:val="standardContextual"/>
    </w:rPr>
  </w:style>
  <w:style w:type="paragraph" w:styleId="Heading5">
    <w:name w:val="heading 5"/>
    <w:basedOn w:val="Normal"/>
    <w:next w:val="Normal"/>
    <w:link w:val="Heading5Char"/>
    <w:uiPriority w:val="9"/>
    <w:semiHidden/>
    <w:unhideWhenUsed/>
    <w:qFormat/>
    <w:rsid w:val="002F7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C56"/>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C56"/>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C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C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FD5A9A"/>
    <w:rPr>
      <w:rFonts w:ascii="Avenir Next LT Pro" w:hAnsi="Avenir Next LT Pro"/>
      <w:b w:val="0"/>
      <w:i/>
      <w:iCs/>
      <w:color w:val="80340D" w:themeColor="accent2" w:themeShade="80"/>
      <w:sz w:val="20"/>
    </w:rPr>
  </w:style>
  <w:style w:type="character" w:customStyle="1" w:styleId="Heading3Char">
    <w:name w:val="Heading 3 Char"/>
    <w:basedOn w:val="DefaultParagraphFont"/>
    <w:link w:val="Heading3"/>
    <w:uiPriority w:val="9"/>
    <w:rsid w:val="00D938B0"/>
    <w:rPr>
      <w:rFonts w:eastAsiaTheme="majorEastAsia" w:cstheme="majorBidi"/>
      <w:b/>
      <w:bCs/>
      <w:i/>
      <w:color w:val="80340D" w:themeColor="accent2" w:themeShade="80"/>
      <w:sz w:val="20"/>
    </w:rPr>
  </w:style>
  <w:style w:type="paragraph" w:customStyle="1" w:styleId="References">
    <w:name w:val="References"/>
    <w:basedOn w:val="Normal"/>
    <w:autoRedefine/>
    <w:qFormat/>
    <w:rsid w:val="00045B39"/>
    <w:pPr>
      <w:ind w:left="720" w:hanging="720"/>
    </w:pPr>
    <w:rPr>
      <w:b/>
    </w:rPr>
  </w:style>
  <w:style w:type="character" w:customStyle="1" w:styleId="Heading1Char">
    <w:name w:val="Heading 1 Char"/>
    <w:basedOn w:val="DefaultParagraphFont"/>
    <w:link w:val="Heading1"/>
    <w:uiPriority w:val="9"/>
    <w:rsid w:val="00A56578"/>
    <w:rPr>
      <w:rFonts w:asciiTheme="majorHAnsi" w:eastAsiaTheme="majorEastAsia" w:hAnsiTheme="majorHAnsi" w:cstheme="majorBidi"/>
      <w:color w:val="215E99" w:themeColor="text2" w:themeTint="BF"/>
      <w:sz w:val="28"/>
      <w:szCs w:val="28"/>
    </w:rPr>
  </w:style>
  <w:style w:type="character" w:customStyle="1" w:styleId="Heading2Char">
    <w:name w:val="Heading 2 Char"/>
    <w:basedOn w:val="DefaultParagraphFont"/>
    <w:link w:val="Heading2"/>
    <w:uiPriority w:val="9"/>
    <w:rsid w:val="00E47B72"/>
    <w:rPr>
      <w:rFonts w:asciiTheme="majorHAnsi" w:eastAsiaTheme="majorEastAsia" w:hAnsiTheme="majorHAnsi" w:cstheme="majorBidi"/>
      <w:color w:val="0B769F" w:themeColor="accent4" w:themeShade="BF"/>
      <w:szCs w:val="26"/>
    </w:rPr>
  </w:style>
  <w:style w:type="character" w:customStyle="1" w:styleId="Heading4Char">
    <w:name w:val="Heading 4 Char"/>
    <w:basedOn w:val="DefaultParagraphFont"/>
    <w:link w:val="Heading4"/>
    <w:uiPriority w:val="9"/>
    <w:semiHidden/>
    <w:rsid w:val="00045B39"/>
    <w:rPr>
      <w:rFonts w:ascii="Times New Roman" w:eastAsiaTheme="majorEastAsia" w:hAnsi="Times New Roman" w:cstheme="majorBidi"/>
      <w:b/>
      <w:bCs/>
      <w:iCs/>
    </w:rPr>
  </w:style>
  <w:style w:type="character" w:customStyle="1" w:styleId="Heading5Char">
    <w:name w:val="Heading 5 Char"/>
    <w:basedOn w:val="DefaultParagraphFont"/>
    <w:link w:val="Heading5"/>
    <w:uiPriority w:val="9"/>
    <w:semiHidden/>
    <w:rsid w:val="002F7C5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2F7C5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2F7C5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2F7C5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2F7C5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1B0FAE"/>
    <w:pPr>
      <w:spacing w:after="80" w:line="240" w:lineRule="auto"/>
      <w:contextualSpacing/>
    </w:pPr>
    <w:rPr>
      <w:rFonts w:asciiTheme="majorHAnsi" w:eastAsiaTheme="majorEastAsia" w:hAnsiTheme="majorHAnsi" w:cstheme="majorBidi"/>
      <w:color w:val="156082" w:themeColor="accent1"/>
      <w:spacing w:val="-10"/>
      <w:kern w:val="28"/>
      <w:sz w:val="36"/>
      <w:szCs w:val="56"/>
    </w:rPr>
  </w:style>
  <w:style w:type="character" w:customStyle="1" w:styleId="TitleChar">
    <w:name w:val="Title Char"/>
    <w:basedOn w:val="DefaultParagraphFont"/>
    <w:link w:val="Title"/>
    <w:uiPriority w:val="10"/>
    <w:rsid w:val="001B0FAE"/>
    <w:rPr>
      <w:rFonts w:asciiTheme="majorHAnsi" w:eastAsiaTheme="majorEastAsia" w:hAnsiTheme="majorHAnsi" w:cstheme="majorBidi"/>
      <w:color w:val="156082" w:themeColor="accent1"/>
      <w:spacing w:val="-10"/>
      <w:kern w:val="28"/>
      <w:sz w:val="36"/>
      <w:szCs w:val="56"/>
      <w14:ligatures w14:val="none"/>
    </w:rPr>
  </w:style>
  <w:style w:type="paragraph" w:styleId="Subtitle">
    <w:name w:val="Subtitle"/>
    <w:basedOn w:val="Normal"/>
    <w:next w:val="Normal"/>
    <w:link w:val="SubtitleChar"/>
    <w:uiPriority w:val="11"/>
    <w:qFormat/>
    <w:rsid w:val="002F7C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C5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F7C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7C56"/>
    <w:rPr>
      <w:rFonts w:ascii="Times New Roman" w:eastAsiaTheme="minorEastAsia" w:hAnsi="Times New Roman"/>
      <w:i/>
      <w:iCs/>
      <w:color w:val="404040" w:themeColor="text1" w:themeTint="BF"/>
      <w:kern w:val="0"/>
      <w:szCs w:val="22"/>
      <w14:ligatures w14:val="none"/>
    </w:rPr>
  </w:style>
  <w:style w:type="paragraph" w:styleId="ListParagraph">
    <w:name w:val="List Paragraph"/>
    <w:basedOn w:val="Normal"/>
    <w:uiPriority w:val="34"/>
    <w:qFormat/>
    <w:rsid w:val="002F7C56"/>
    <w:pPr>
      <w:ind w:left="720"/>
      <w:contextualSpacing/>
    </w:pPr>
  </w:style>
  <w:style w:type="paragraph" w:styleId="IntenseQuote">
    <w:name w:val="Intense Quote"/>
    <w:basedOn w:val="Normal"/>
    <w:next w:val="Normal"/>
    <w:link w:val="IntenseQuoteChar"/>
    <w:uiPriority w:val="30"/>
    <w:qFormat/>
    <w:rsid w:val="002F7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C56"/>
    <w:rPr>
      <w:rFonts w:ascii="Times New Roman" w:eastAsiaTheme="minorEastAsia" w:hAnsi="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2F7C56"/>
    <w:rPr>
      <w:b/>
      <w:bCs/>
      <w:smallCaps/>
      <w:color w:val="0F4761" w:themeColor="accent1" w:themeShade="BF"/>
      <w:spacing w:val="5"/>
    </w:rPr>
  </w:style>
  <w:style w:type="character" w:styleId="SubtleEmphasis">
    <w:name w:val="Subtle Emphasis"/>
    <w:basedOn w:val="DefaultParagraphFont"/>
    <w:uiPriority w:val="19"/>
    <w:qFormat/>
    <w:rsid w:val="00A1475C"/>
    <w:rPr>
      <w:rFonts w:asciiTheme="minorHAnsi" w:hAnsiTheme="minorHAnsi"/>
      <w:i/>
      <w:iCs/>
      <w:color w:val="595959" w:themeColor="text1" w:themeTint="A6"/>
      <w:sz w:val="22"/>
    </w:rPr>
  </w:style>
  <w:style w:type="paragraph" w:styleId="Header">
    <w:name w:val="header"/>
    <w:basedOn w:val="Normal"/>
    <w:link w:val="HeaderChar"/>
    <w:uiPriority w:val="99"/>
    <w:unhideWhenUsed/>
    <w:rsid w:val="00FC64B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FC64BE"/>
    <w:rPr>
      <w:rFonts w:eastAsiaTheme="minorEastAsia"/>
      <w:kern w:val="0"/>
      <w:sz w:val="22"/>
      <w:szCs w:val="22"/>
      <w14:ligatures w14:val="none"/>
    </w:rPr>
  </w:style>
  <w:style w:type="paragraph" w:styleId="Footer">
    <w:name w:val="footer"/>
    <w:basedOn w:val="Normal"/>
    <w:link w:val="FooterChar"/>
    <w:uiPriority w:val="99"/>
    <w:unhideWhenUsed/>
    <w:rsid w:val="00FC64B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FC64BE"/>
    <w:rPr>
      <w:rFonts w:eastAsiaTheme="minorEastAsia"/>
      <w:kern w:val="0"/>
      <w:sz w:val="22"/>
      <w:szCs w:val="22"/>
      <w14:ligatures w14:val="none"/>
    </w:rPr>
  </w:style>
  <w:style w:type="paragraph" w:styleId="NoSpacing">
    <w:name w:val="No Spacing"/>
    <w:link w:val="NoSpacingChar"/>
    <w:uiPriority w:val="1"/>
    <w:qFormat/>
    <w:rsid w:val="0074501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4501B"/>
    <w:rPr>
      <w:rFonts w:eastAsiaTheme="minorEastAsia"/>
      <w:kern w:val="0"/>
      <w:sz w:val="22"/>
      <w:szCs w:val="22"/>
      <w14:ligatures w14:val="none"/>
    </w:rPr>
  </w:style>
  <w:style w:type="character" w:styleId="Emphasis">
    <w:name w:val="Emphasis"/>
    <w:basedOn w:val="DefaultParagraphFont"/>
    <w:uiPriority w:val="20"/>
    <w:qFormat/>
    <w:rsid w:val="005D5A6A"/>
    <w:rPr>
      <w:b/>
      <w:i/>
      <w:iCs/>
      <w:color w:val="0A2F41" w:themeColor="accent1" w:themeShade="80"/>
    </w:rPr>
  </w:style>
  <w:style w:type="table" w:styleId="GridTable1Light">
    <w:name w:val="Grid Table 1 Light"/>
    <w:basedOn w:val="TableNormal"/>
    <w:uiPriority w:val="46"/>
    <w:rsid w:val="00D6277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225D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msonormal0">
    <w:name w:val="msonormal"/>
    <w:basedOn w:val="Normal"/>
    <w:rsid w:val="00C965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965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6584"/>
    <w:rPr>
      <w:b/>
      <w:bCs/>
    </w:rPr>
  </w:style>
  <w:style w:type="paragraph" w:styleId="HTMLPreformatted">
    <w:name w:val="HTML Preformatted"/>
    <w:basedOn w:val="Normal"/>
    <w:link w:val="HTMLPreformattedChar"/>
    <w:uiPriority w:val="99"/>
    <w:semiHidden/>
    <w:unhideWhenUsed/>
    <w:rsid w:val="00C965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9658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96584"/>
    <w:rPr>
      <w:rFonts w:ascii="Courier New" w:eastAsia="Times New Roman" w:hAnsi="Courier New" w:cs="Courier New"/>
      <w:sz w:val="20"/>
      <w:szCs w:val="20"/>
    </w:rPr>
  </w:style>
  <w:style w:type="table" w:styleId="GridTable1Light-Accent4">
    <w:name w:val="Grid Table 1 Light Accent 4"/>
    <w:basedOn w:val="TableNormal"/>
    <w:uiPriority w:val="46"/>
    <w:rsid w:val="0066110A"/>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72EFB"/>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2988</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Syam Adusumilli</dc:creator>
  <cp:keywords/>
  <cp:lastModifiedBy>Syam Adusumilli</cp:lastModifiedBy>
  <cp:revision>2</cp:revision>
  <dcterms:created xsi:type="dcterms:W3CDTF">2026-02-05T13:31:00Z</dcterms:created>
  <dcterms:modified xsi:type="dcterms:W3CDTF">2026-02-05T13:31:00Z</dcterms:modified>
</cp:coreProperties>
</file>