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7466A" w14:textId="77777777" w:rsidR="00B2468C" w:rsidRPr="00FB4525" w:rsidRDefault="00FB4525">
      <w:pPr>
        <w:pStyle w:val="Title"/>
        <w:rPr>
          <w:sz w:val="24"/>
          <w:szCs w:val="44"/>
        </w:rPr>
      </w:pPr>
      <w:r w:rsidRPr="00FB4525">
        <w:rPr>
          <w:sz w:val="24"/>
          <w:szCs w:val="44"/>
        </w:rPr>
        <w:t>RHTP 11.E</w:t>
      </w:r>
    </w:p>
    <w:p w14:paraId="29252E2B" w14:textId="77777777" w:rsidR="00B2468C" w:rsidRDefault="00FB4525">
      <w:pPr>
        <w:pStyle w:val="Title"/>
      </w:pPr>
      <w:r>
        <w:t>Maternal and Child Health</w:t>
      </w:r>
    </w:p>
    <w:p w14:paraId="12690369" w14:textId="77777777" w:rsidR="00B2468C" w:rsidRDefault="00FB4525">
      <w:pPr>
        <w:pStyle w:val="Subtitle"/>
      </w:pPr>
      <w:r>
        <w:t>Lifecycle Investment Versus Generational Abandonment</w:t>
      </w:r>
    </w:p>
    <w:p w14:paraId="61B49A2D" w14:textId="77777777" w:rsidR="00B2468C" w:rsidRDefault="00FB4525">
      <w:pPr>
        <w:pStyle w:val="Heading1"/>
      </w:pPr>
      <w:bookmarkStart w:id="0" w:name="introduction"/>
      <w:r>
        <w:t>Introduction</w:t>
      </w:r>
    </w:p>
    <w:p w14:paraId="688B91AD" w14:textId="77777777" w:rsidR="00B2468C" w:rsidRDefault="00FB4525">
      <w:r>
        <w:t xml:space="preserve">What does it mean that rural communities cannot safely deliver babies or care for children? This question exposes the most consequential failure of rural healthcare: the </w:t>
      </w:r>
      <w:r>
        <w:rPr>
          <w:rStyle w:val="Emphasis"/>
        </w:rPr>
        <w:t>systematic dismantling of services that determine whether the next generation will be healthier than the last</w:t>
      </w:r>
      <w:r>
        <w:t>. Over 56% of rural counties lack any hospital obstetric services. More than 35% of U.S. counties qualify as maternity care deserts, with nearly two-thirds located in rural areas. Rural maternal mortality rates exceed urban rates by more than 50%, and the gap has widened rather than narrowed over the past decade.</w:t>
      </w:r>
    </w:p>
    <w:p w14:paraId="4D60982D" w14:textId="77777777" w:rsidR="00B2468C" w:rsidRDefault="00FB4525">
      <w:r>
        <w:t xml:space="preserve">The clinical reality for rural mothers and children reveals a healthcare system that has effectively abandoned lifecycle investment. </w:t>
      </w:r>
      <w:r>
        <w:rPr>
          <w:rStyle w:val="Emphasis"/>
        </w:rPr>
        <w:t>Healthy children require an unbroken chain of services</w:t>
      </w:r>
      <w:r>
        <w:t>: prenatal care, safe delivery, pediatric primary care, developmental screening, specialty access, and mental health support. Missing any link breaks the chain. Rural America is missing most of them.</w:t>
      </w:r>
    </w:p>
    <w:p w14:paraId="0DBAD9A2" w14:textId="77777777" w:rsidR="00B2468C" w:rsidRDefault="00FB4525">
      <w:r>
        <w:t xml:space="preserve">This article examines two core tensions that define rural maternal and child health. The first is </w:t>
      </w:r>
      <w:r>
        <w:rPr>
          <w:rStyle w:val="Emphasis"/>
        </w:rPr>
        <w:t>lifecycle investment versus generational abandonment</w:t>
      </w:r>
      <w:r>
        <w:t xml:space="preserve">: whether communities choose to invest in the children who will become their future workforce, taxpayers, and caregivers, or allow infrastructure collapse to determine which children survive and thrive. The second is </w:t>
      </w:r>
      <w:r>
        <w:rPr>
          <w:rStyle w:val="Emphasis"/>
        </w:rPr>
        <w:t>centralization for safety versus access for equity</w:t>
      </w:r>
      <w:r>
        <w:t>: whether consolidating obstetric services to improve clinical quality justifies forcing some women to deliver in cars and ambulances.</w:t>
      </w:r>
    </w:p>
    <w:p w14:paraId="543BC2D0" w14:textId="77777777" w:rsidR="00B2468C" w:rsidRDefault="00FB4525">
      <w:r>
        <w:t xml:space="preserve">RHTP applications universally acknowledge the maternal health crisis. States propose telehealth prenatal care, midwifery expansion, doula programs, and perinatal regionalization. The question is whether any intervention can meaningfully address a crisis caused by the </w:t>
      </w:r>
      <w:r>
        <w:rPr>
          <w:rStyle w:val="Emphasis"/>
        </w:rPr>
        <w:t>financial unsustainability of low-volume obstetric services</w:t>
      </w:r>
      <w:r>
        <w:t xml:space="preserve"> and the absence of pediatric specialists from rural practice entirely.</w:t>
      </w:r>
    </w:p>
    <w:p w14:paraId="13AD90CA" w14:textId="77777777" w:rsidR="00B2468C" w:rsidRDefault="00FB4525">
      <w:pPr>
        <w:pStyle w:val="Heading1"/>
      </w:pPr>
      <w:bookmarkStart w:id="1" w:name="epidemiological-landscape"/>
      <w:bookmarkEnd w:id="0"/>
      <w:r>
        <w:t>Epidemiological Landscape</w:t>
      </w:r>
    </w:p>
    <w:p w14:paraId="04984617" w14:textId="77777777" w:rsidR="00B2468C" w:rsidRDefault="00FB4525">
      <w:pPr>
        <w:pStyle w:val="Heading2"/>
      </w:pPr>
      <w:bookmarkStart w:id="2" w:name="maternal-mortality"/>
      <w:r>
        <w:t>Maternal Mortality</w:t>
      </w:r>
    </w:p>
    <w:p w14:paraId="60C59661" w14:textId="77777777" w:rsidR="00B2468C" w:rsidRDefault="00FB4525">
      <w:r>
        <w:t xml:space="preserve">The United States has the highest maternal mortality rate among high-income nations, and </w:t>
      </w:r>
      <w:r>
        <w:rPr>
          <w:rStyle w:val="Emphasis"/>
        </w:rPr>
        <w:t>rural women bear disproportionate burden</w:t>
      </w:r>
      <w:r>
        <w:t>. According to 2023 CDC data, the national maternal mortality rate was 18.6 deaths per 100,000 live births. Rural mortality rates exceeded this by approximately 50%, with some estimates placing rural maternal mortality above 26 per 100,000.</w:t>
      </w:r>
    </w:p>
    <w:p w14:paraId="1726DFA8" w14:textId="77777777" w:rsidR="00B2468C" w:rsidRDefault="00FB4525">
      <w:r>
        <w:t xml:space="preserve">Racial disparities compound geographic disparities. </w:t>
      </w:r>
      <w:r>
        <w:rPr>
          <w:rStyle w:val="Emphasis"/>
        </w:rPr>
        <w:t>Black women die at 3.5 times the rate of white women</w:t>
      </w:r>
      <w:r>
        <w:t xml:space="preserve"> regardless of education, income, or geography. Black women in rural areas face compounded risk: the racial disparity operates atop the geographic disparity, producing mortality rates approaching those of low-income nations. The 2023 maternal mortality rate for Black women nationally was 50.3 per 100,000, compared to 14.5 for white women.</w:t>
      </w:r>
    </w:p>
    <w:p w14:paraId="495EF065" w14:textId="77777777" w:rsidR="00B2468C" w:rsidRDefault="00FB4525">
      <w:r>
        <w:rPr>
          <w:rStyle w:val="Emphasis"/>
        </w:rPr>
        <w:t>Deep South states carry the heaviest burden.</w:t>
      </w:r>
      <w:r>
        <w:t xml:space="preserve"> Alabama, Mississippi, Tennessee, Louisiana, Georgia, and Arkansas report pregnancy-related death ratios at least twice the rates of states like California, Colorado, and Massachusetts. These regional patterns reflect both Medicaid expansion decisions and historic underinvestment in maternal health infrastructure.</w:t>
      </w:r>
    </w:p>
    <w:p w14:paraId="5A392DA7" w14:textId="77777777" w:rsidR="00B2468C" w:rsidRDefault="00FB4525">
      <w:r>
        <w:t xml:space="preserve">The leading causes of pregnancy-related death are largely preventable: </w:t>
      </w:r>
      <w:r>
        <w:rPr>
          <w:rStyle w:val="Emphasis"/>
        </w:rPr>
        <w:t>hemorrhage, hypertensive disorders, infection, and cardiomyopathy</w:t>
      </w:r>
      <w:r>
        <w:t>. Maternal Mortality Review Committees estimate that approximately 80% of pregnancy-related deaths are preventable. Rural mortality reflects not inevitable clinical complexity but system failures in access, recognition, and timely response.</w:t>
      </w:r>
    </w:p>
    <w:p w14:paraId="5E994D23" w14:textId="77777777" w:rsidR="00B2468C" w:rsidRDefault="00FB4525">
      <w:pPr>
        <w:pStyle w:val="Heading2"/>
      </w:pPr>
      <w:bookmarkStart w:id="3" w:name="infant-mortality"/>
      <w:bookmarkEnd w:id="2"/>
      <w:r>
        <w:lastRenderedPageBreak/>
        <w:t>Infant Mortality</w:t>
      </w:r>
    </w:p>
    <w:p w14:paraId="3A312004" w14:textId="77777777" w:rsidR="00B2468C" w:rsidRDefault="00FB4525">
      <w:r>
        <w:t xml:space="preserve">Rural infant mortality rates exceed urban rates by approximately 25%. </w:t>
      </w:r>
      <w:r>
        <w:rPr>
          <w:rStyle w:val="Emphasis"/>
        </w:rPr>
        <w:t>Rural counties report 6.4 infant deaths per 1,000 live births</w:t>
      </w:r>
      <w:r>
        <w:t xml:space="preserve"> compared to 5.1 in urban areas. The gap has persisted despite decades of public health attention and widened in some regions.</w:t>
      </w:r>
    </w:p>
    <w:p w14:paraId="09A60D4D" w14:textId="77777777" w:rsidR="00B2468C" w:rsidRDefault="00FB4525">
      <w:r>
        <w:t xml:space="preserve">The causes of rural infant mortality include higher rates of preterm birth, low birth weight, congenital anomalies, and sudden unexpected infant death. </w:t>
      </w:r>
      <w:r>
        <w:rPr>
          <w:rStyle w:val="Emphasis"/>
        </w:rPr>
        <w:t>Preterm birth rates run 10-15% higher in rural counties</w:t>
      </w:r>
      <w:r>
        <w:t>, reflecting inadequate prenatal care, higher maternal stress, and limited high-risk pregnancy management.</w:t>
      </w:r>
    </w:p>
    <w:p w14:paraId="42590044" w14:textId="77777777" w:rsidR="00B2468C" w:rsidRDefault="00FB4525">
      <w:r>
        <w:t>Regional variation is extreme. The Mississippi Delta, Black Belt, and Appalachian coalfields report infant mortality rates 50-100% above national averages. Some rural counties have infant mortality rates comparable to developing nations. These geographic concentrations of infant death overlay patterns of persistent poverty, limited healthcare infrastructure, and historic disinvestment.</w:t>
      </w:r>
    </w:p>
    <w:p w14:paraId="6B6BFA81" w14:textId="77777777" w:rsidR="00B2468C" w:rsidRDefault="00FB4525">
      <w:pPr>
        <w:pStyle w:val="Heading2"/>
      </w:pPr>
      <w:bookmarkStart w:id="4" w:name="maternity-care-deserts"/>
      <w:bookmarkEnd w:id="3"/>
      <w:r>
        <w:t>Maternity Care Deserts</w:t>
      </w:r>
    </w:p>
    <w:p w14:paraId="287623D8" w14:textId="77777777" w:rsidR="00B2468C" w:rsidRDefault="00FB4525">
      <w:r>
        <w:rPr>
          <w:rStyle w:val="Emphasis"/>
        </w:rPr>
        <w:t>More than 1,100 U.S. counties qualify as maternity care deserts</w:t>
      </w:r>
      <w:r>
        <w:t>: areas without a single hospital offering obstetric services, without a birth center, and without any obstetrician, gynecologist, or certified nurse midwife. These counties contain 2.3 million women of reproductive age and produce approximately 150,000 births annually.</w:t>
      </w:r>
    </w:p>
    <w:p w14:paraId="5749EE68" w14:textId="77777777" w:rsidR="00B2468C" w:rsidRDefault="00FB4525">
      <w:r>
        <w:t xml:space="preserve">The closure cascade has accelerated. </w:t>
      </w:r>
      <w:r>
        <w:rPr>
          <w:rStyle w:val="Emphasis"/>
        </w:rPr>
        <w:t>Between 2011 and 2023, 293 rural hospitals stopped providing obstetric services</w:t>
      </w:r>
      <w:r>
        <w:t>, representing 24% of rural obstetric units eliminated in just over a decade. More than 400 maternity service closures occurred between 2006 and 2020.</w:t>
      </w:r>
    </w:p>
    <w:p w14:paraId="4A4BFCEC" w14:textId="77777777" w:rsidR="00B2468C" w:rsidRDefault="00FB4525">
      <w:r>
        <w:t xml:space="preserve">In states like Texas, Missouri, Arkansas, and Nebraska, dozens of counties have no delivering hospital within 60 miles. </w:t>
      </w:r>
      <w:r>
        <w:rPr>
          <w:rStyle w:val="Emphasis"/>
        </w:rPr>
        <w:t>More than 40% of rural women must travel over 30 minutes to reach maternity care</w:t>
      </w:r>
      <w:r>
        <w:t>; in the most remote areas, travel times exceed two hours.</w:t>
      </w:r>
    </w:p>
    <w:p w14:paraId="6032CE36" w14:textId="77777777" w:rsidR="00B2468C" w:rsidRDefault="00FB4525">
      <w:r>
        <w:t xml:space="preserve">OB-GYN distribution drives the crisis. </w:t>
      </w:r>
      <w:r>
        <w:rPr>
          <w:rStyle w:val="Emphasis"/>
        </w:rPr>
        <w:t>Rural counties average 5 obstetrician-gynecologists per 100,000 population</w:t>
      </w:r>
      <w:r>
        <w:t xml:space="preserve"> compared to 15 per 100,000 in urban areas. Nearly 40% of U.S. counties lack a single OB-GYN or certified nurse midwife.</w:t>
      </w:r>
    </w:p>
    <w:p w14:paraId="181DDDB6" w14:textId="77777777" w:rsidR="00B2468C" w:rsidRDefault="00FB4525">
      <w:pPr>
        <w:pStyle w:val="Heading1"/>
      </w:pPr>
      <w:bookmarkStart w:id="5" w:name="the-core-tensions"/>
      <w:bookmarkEnd w:id="4"/>
      <w:bookmarkEnd w:id="1"/>
      <w:r>
        <w:t>The Core Tensions</w:t>
      </w:r>
    </w:p>
    <w:p w14:paraId="4CCF5EC4" w14:textId="77777777" w:rsidR="00B2468C" w:rsidRDefault="00FB4525">
      <w:pPr>
        <w:pStyle w:val="Heading2"/>
      </w:pPr>
      <w:bookmarkStart w:id="6" w:name="Xcf75e9e1ab5b474d1bfd78bfc525298ae7cfcc3"/>
      <w:r>
        <w:t>Lifecycle Investment Versus Generational Abandonment</w:t>
      </w:r>
    </w:p>
    <w:p w14:paraId="4A736244" w14:textId="77777777" w:rsidR="00B2468C" w:rsidRDefault="00FB4525">
      <w:r>
        <w:t xml:space="preserve">Rural health transformation claims to build sustainable systems. But sustainability requires the next generation. </w:t>
      </w:r>
      <w:r>
        <w:rPr>
          <w:rStyle w:val="Emphasis"/>
        </w:rPr>
        <w:t>Communities that cannot safely deliver babies and raise healthy children have no future to sustain.</w:t>
      </w:r>
    </w:p>
    <w:p w14:paraId="478D951B" w14:textId="77777777" w:rsidR="00B2468C" w:rsidRDefault="00FB4525">
      <w:r>
        <w:t xml:space="preserve">The lifecycle investment perspective recognizes that every dollar spent on maternal and child health yields returns over decades. Prenatal care prevents preterm birth, which prevents developmental delays, which prevents special education costs, which prevents adult disability. </w:t>
      </w:r>
      <w:r>
        <w:rPr>
          <w:rStyle w:val="Emphasis"/>
        </w:rPr>
        <w:t>The return on investment for early childhood health intervention ranges from $4 to $17 for every dollar invested.</w:t>
      </w:r>
      <w:r>
        <w:t xml:space="preserve"> No other public health investment approaches this efficiency.</w:t>
      </w:r>
    </w:p>
    <w:p w14:paraId="1D9E14D0" w14:textId="77777777" w:rsidR="00B2468C" w:rsidRDefault="00FB4525">
      <w:r>
        <w:t xml:space="preserve">Yet rural communities consistently disinvest from maternal and child health. Obstetric units close because they lose money. Pediatric specialists never arrive because patient volumes cannot sustain practice. Developmental services for children with delays are nonexistent in most rural counties. </w:t>
      </w:r>
      <w:r>
        <w:rPr>
          <w:rStyle w:val="Emphasis"/>
        </w:rPr>
        <w:t>The economic logic that drives individual hospital decisions produces collective generational abandonment.</w:t>
      </w:r>
    </w:p>
    <w:p w14:paraId="54912788" w14:textId="77777777" w:rsidR="00B2468C" w:rsidRDefault="00FB4525">
      <w:r>
        <w:t xml:space="preserve">The investment timeframe creates political challenges. Benefits from maternal and child health investment accrue over 20-40 years. </w:t>
      </w:r>
      <w:r>
        <w:rPr>
          <w:rStyle w:val="Emphasis"/>
        </w:rPr>
        <w:t>Politicians serve 2-6 year terms.</w:t>
      </w:r>
      <w:r>
        <w:t xml:space="preserve"> The misalignment between investment horizon and political incentive systematically undervalues lifecycle health.</w:t>
      </w:r>
    </w:p>
    <w:p w14:paraId="5FA6808B" w14:textId="77777777" w:rsidR="00B2468C" w:rsidRDefault="00FB4525">
      <w:pPr>
        <w:pStyle w:val="Heading2"/>
      </w:pPr>
      <w:bookmarkStart w:id="7" w:name="X1007f0d0933021e5b5be9ea4a09c436cd53b776"/>
      <w:bookmarkEnd w:id="6"/>
      <w:r>
        <w:lastRenderedPageBreak/>
        <w:t>Centralization for Safety Versus Access for Equity</w:t>
      </w:r>
    </w:p>
    <w:p w14:paraId="119E432B" w14:textId="77777777" w:rsidR="00B2468C" w:rsidRDefault="00FB4525">
      <w:r>
        <w:t xml:space="preserve">Obstetric care presents a genuine tension between quality and access. </w:t>
      </w:r>
      <w:r>
        <w:rPr>
          <w:rStyle w:val="Emphasis"/>
        </w:rPr>
        <w:t>Low-volume delivery units have higher complication rates.</w:t>
      </w:r>
      <w:r>
        <w:t xml:space="preserve"> Hospitals delivering fewer than 200 babies annually struggle to maintain staff competency in obstetric emergencies. The clinical argument for consolidating obstetric services is real.</w:t>
      </w:r>
    </w:p>
    <w:p w14:paraId="7F8386F5" w14:textId="77777777" w:rsidR="00B2468C" w:rsidRDefault="00FB4525">
      <w:r>
        <w:t xml:space="preserve">But consolidation increases distance. </w:t>
      </w:r>
      <w:r>
        <w:rPr>
          <w:rStyle w:val="Emphasis"/>
        </w:rPr>
        <w:t>Women who must travel more than 30 minutes to delivery services have higher rates of unplanned out-of-hospital birth, infant mortality, and maternal complications.</w:t>
      </w:r>
      <w:r>
        <w:t xml:space="preserve"> Some women will deliver in cars, parking lots, or ambulances. The woman laboring in a vehicle on a rural highway is not experiencing a random misfortune; she is experiencing the predictable consequence of policy choices about where obstetric services should exist.</w:t>
      </w:r>
    </w:p>
    <w:p w14:paraId="73DD6A00" w14:textId="77777777" w:rsidR="00B2468C" w:rsidRDefault="00FB4525">
      <w:r>
        <w:t xml:space="preserve">This tension has no clean resolution. </w:t>
      </w:r>
      <w:r>
        <w:rPr>
          <w:rStyle w:val="Emphasis"/>
        </w:rPr>
        <w:t>Quality improves with volume; access requires proximity.</w:t>
      </w:r>
      <w:r>
        <w:t xml:space="preserve"> The optimal configuration depends on geography, population distribution, and values about who bears risk when the system cannot optimize both dimensions.</w:t>
      </w:r>
    </w:p>
    <w:p w14:paraId="10386BBA" w14:textId="77777777" w:rsidR="00B2468C" w:rsidRDefault="00FB4525">
      <w:r>
        <w:t>What is clear is that the current system resolved this tension by default rather than design. Obstetric units closed because they lost money, not because planners weighed quality against access. The geography of maternity care reflects market forces, not clinical optimization or equity principles.</w:t>
      </w:r>
    </w:p>
    <w:p w14:paraId="5F897D6F" w14:textId="77777777" w:rsidR="00B2468C" w:rsidRDefault="00FB4525">
      <w:pPr>
        <w:pStyle w:val="Heading1"/>
      </w:pPr>
      <w:bookmarkStart w:id="8" w:name="vignette-the-90-mile-labor"/>
      <w:bookmarkEnd w:id="7"/>
      <w:bookmarkEnd w:id="5"/>
      <w:r>
        <w:t>Vignette: The 90-Mile Labor</w:t>
      </w:r>
    </w:p>
    <w:p w14:paraId="389DF460" w14:textId="77777777" w:rsidR="00B2468C" w:rsidRDefault="00FB4525">
      <w:r>
        <w:t>Marissa learned she was pregnant in February, just before her 23rd birthday. She lived in a town of 800 people in the Missouri Ozarks, working as a cashier at the Dollar General. The nearest hospital with obstetric services was in Springfield, 90 miles away.</w:t>
      </w:r>
    </w:p>
    <w:p w14:paraId="1EB4D3AE" w14:textId="77777777" w:rsidR="00B2468C" w:rsidRDefault="00FB4525">
      <w:r>
        <w:t>Her prenatal care happened in a patchwork. The community health center in the next county over could do the early visits, but their nurse practitioner couldn’t manage complications. At 28 weeks, she developed gestational diabetes. The endocrinologist was in Springfield. She drove three hours round trip, missing a shift, for a 15-minute appointment to adjust her diet.</w:t>
      </w:r>
    </w:p>
    <w:p w14:paraId="1A2974A8" w14:textId="77777777" w:rsidR="00B2468C" w:rsidRDefault="00FB4525">
      <w:r>
        <w:t>At 36 weeks, she woke at 2 AM with contractions. Her boyfriend drove while she timed them in the passenger seat. By Branson, they were four minutes apart. By Lebanon, she was certain she wouldn’t make it.</w:t>
      </w:r>
    </w:p>
    <w:p w14:paraId="436D1E95" w14:textId="77777777" w:rsidR="00B2468C" w:rsidRDefault="00FB4525">
      <w:r>
        <w:t>She delivered in the emergency department of a small hospital that had closed its obstetric unit three years earlier. The ER physician, trained in family medicine, hadn’t delivered a baby in years. The nurses improvised with equipment designed for cardiac emergencies. Her daughter was born healthy, but Marissa hemorrhaged. The hospital stabilized her, then transferred her by ambulance to Springfield, leaving her newborn behind for six hours until her mother could drive back to retrieve the baby.</w:t>
      </w:r>
    </w:p>
    <w:p w14:paraId="4C3B13E5" w14:textId="77777777" w:rsidR="00B2468C" w:rsidRDefault="00FB4525">
      <w:r>
        <w:rPr>
          <w:rStyle w:val="Emphasis"/>
        </w:rPr>
        <w:t>The system worked, barely.</w:t>
      </w:r>
      <w:r>
        <w:t xml:space="preserve"> But Marissa knows women for whom it didn’t. Her cousin delivered in a gas station parking lot. Her neighbor’s baby was born premature after a placental abruption during the hour-long drive; the child has cerebral palsy. These are not exceptional cases. They are the predictable outcomes of a system designed around everything except the women who need it.</w:t>
      </w:r>
    </w:p>
    <w:p w14:paraId="117702E6" w14:textId="77777777" w:rsidR="00B2468C" w:rsidRDefault="00FB4525">
      <w:pPr>
        <w:pStyle w:val="Heading1"/>
      </w:pPr>
      <w:bookmarkStart w:id="9" w:name="clinical-access-analysis"/>
      <w:bookmarkEnd w:id="8"/>
      <w:r>
        <w:t>Clinical Access Analysis</w:t>
      </w:r>
    </w:p>
    <w:p w14:paraId="1DB6E8B4" w14:textId="77777777" w:rsidR="00B2468C" w:rsidRDefault="00FB4525">
      <w:pPr>
        <w:pStyle w:val="Heading2"/>
      </w:pPr>
      <w:bookmarkStart w:id="10" w:name="pediatric-specialty-access"/>
      <w:r>
        <w:t>Pediatric Specialty Access</w:t>
      </w:r>
    </w:p>
    <w:p w14:paraId="0D0A0F3F" w14:textId="77777777" w:rsidR="00B2468C" w:rsidRDefault="00FB4525">
      <w:r>
        <w:rPr>
          <w:rStyle w:val="Emphasis"/>
        </w:rPr>
        <w:t>Pediatric specialty care barely exists in rural America.</w:t>
      </w:r>
      <w:r>
        <w:t xml:space="preserve"> Developmental pediatricians, child psychiatrists, pediatric cardiologists, and pediatric subspecialists practice almost exclusively in metropolitan areas and academic medical centers.</w:t>
      </w:r>
    </w:p>
    <w:p w14:paraId="55F78CCC" w14:textId="77777777" w:rsidR="00B2468C" w:rsidRDefault="00FB4525">
      <w:r>
        <w:t xml:space="preserve">Rural counties average </w:t>
      </w:r>
      <w:r>
        <w:rPr>
          <w:rStyle w:val="Emphasis"/>
        </w:rPr>
        <w:t>3.2 pediatricians per 10,000 children</w:t>
      </w:r>
      <w:r>
        <w:t xml:space="preserve"> compared to 8.7 in urban areas. This 63% gap in basic pediatric availability cascades into specialty access that approaches zero. A child in rural Arkansas with suspected autism waits 18-24 months for diagnostic evaluation, the nearest available 200 miles away. A child in rural Montana with a congenital heart defect travels to Denver or Seattle for surgery. A child anywhere in rural America experiencing psychiatric crisis has nowhere to go.</w:t>
      </w:r>
    </w:p>
    <w:p w14:paraId="14E14EB2" w14:textId="77777777" w:rsidR="00B2468C" w:rsidRDefault="00FB4525">
      <w:r>
        <w:lastRenderedPageBreak/>
        <w:t xml:space="preserve">The absence of pediatric subspecialists has downstream effects throughout the healthcare system. </w:t>
      </w:r>
      <w:r>
        <w:rPr>
          <w:rStyle w:val="Emphasis"/>
        </w:rPr>
        <w:t>Primary care providers manage conditions they were not trained to treat.</w:t>
      </w:r>
      <w:r>
        <w:t xml:space="preserve"> Children with complex medical needs receive inadequate care or no care. Developmental windows for intervention close while families navigate impossible logistics.</w:t>
      </w:r>
    </w:p>
    <w:p w14:paraId="2294BB50" w14:textId="77777777" w:rsidR="00B2468C" w:rsidRDefault="00FB4525">
      <w:pPr>
        <w:pStyle w:val="Heading2"/>
      </w:pPr>
      <w:bookmarkStart w:id="11" w:name="well-child-care-and-prevention"/>
      <w:bookmarkEnd w:id="10"/>
      <w:r>
        <w:t>Well-Child Care and Prevention</w:t>
      </w:r>
    </w:p>
    <w:p w14:paraId="3EE2ABD4" w14:textId="77777777" w:rsidR="00B2468C" w:rsidRDefault="00FB4525">
      <w:r>
        <w:t xml:space="preserve">Rural children are </w:t>
      </w:r>
      <w:r>
        <w:rPr>
          <w:rStyle w:val="Emphasis"/>
        </w:rPr>
        <w:t>less likely to receive well-child visits</w:t>
      </w:r>
      <w:r>
        <w:t xml:space="preserve"> at recommended intervals. They are more likely to rely on emergency departments for acute care and less likely to receive vaccinations on schedule. Childhood obesity prevalence exceeds urban rates by approximately 25%.</w:t>
      </w:r>
    </w:p>
    <w:p w14:paraId="18E6AD99" w14:textId="77777777" w:rsidR="00B2468C" w:rsidRDefault="00FB4525">
      <w:r>
        <w:t xml:space="preserve">The preventive care gap reflects provider shortage but also competing demands. A family physician in a rural clinic, managing a panel of 2,500 patients with a median age of 58, may not prioritize well-child visits when three diabetics need foot exams and two patients need opioid prescriptions managed. </w:t>
      </w:r>
      <w:r>
        <w:rPr>
          <w:rStyle w:val="Emphasis"/>
        </w:rPr>
        <w:t>Rural primary care operates in triage mode</w:t>
      </w:r>
      <w:r>
        <w:t>, and children’s preventive needs often lose to adults’ urgent needs.</w:t>
      </w:r>
    </w:p>
    <w:p w14:paraId="649E884B" w14:textId="77777777" w:rsidR="00B2468C" w:rsidRDefault="00FB4525">
      <w:r>
        <w:t xml:space="preserve">School health services vary dramatically. Some rural districts have full-time school nurses; others share nurses across multiple buildings or have no nursing coverage at all. </w:t>
      </w:r>
      <w:r>
        <w:rPr>
          <w:rStyle w:val="Emphasis"/>
        </w:rPr>
        <w:t>School-based mental health services</w:t>
      </w:r>
      <w:r>
        <w:t xml:space="preserve"> are even scarcer, leaving children with anxiety, depression, and trauma-related conditions without professional support.</w:t>
      </w:r>
    </w:p>
    <w:p w14:paraId="30DF8A8D" w14:textId="77777777" w:rsidR="00B2468C" w:rsidRDefault="00FB4525">
      <w:pPr>
        <w:pStyle w:val="Heading2"/>
      </w:pPr>
      <w:bookmarkStart w:id="12" w:name="X61408b4af88f334ae18ef4e8c973b2f19a62ebd"/>
      <w:bookmarkEnd w:id="11"/>
      <w:r>
        <w:t>Early Intervention and Developmental Services</w:t>
      </w:r>
    </w:p>
    <w:p w14:paraId="0AD30CE1" w14:textId="77777777" w:rsidR="00B2468C" w:rsidRDefault="00FB4525">
      <w:r>
        <w:t xml:space="preserve">Federal law mandates early intervention services for children under three with developmental delays. </w:t>
      </w:r>
      <w:r>
        <w:rPr>
          <w:rStyle w:val="Emphasis"/>
        </w:rPr>
        <w:t>Implementation in rural areas is chronically inadequate.</w:t>
      </w:r>
      <w:r>
        <w:t xml:space="preserve"> Programs struggle to recruit speech therapists, occupational therapists, and developmental specialists. Geographic coverage challenges mean families travel hours for therapy sessions that should happen weekly.</w:t>
      </w:r>
    </w:p>
    <w:p w14:paraId="5DA1DC6B" w14:textId="77777777" w:rsidR="00B2468C" w:rsidRDefault="00FB4525">
      <w:r>
        <w:t xml:space="preserve">A child identified with developmental delay at 18 months in urban Massachusetts receives immediate services. </w:t>
      </w:r>
      <w:r>
        <w:rPr>
          <w:rStyle w:val="Emphasis"/>
        </w:rPr>
        <w:t>The same child in rural Mississippi may wait six months for evaluation and another six for services to begin.</w:t>
      </w:r>
      <w:r>
        <w:t xml:space="preserve"> By then, the critical early intervention window has partially closed. The child enters school behind peers, and the gap often widens rather than narrows.</w:t>
      </w:r>
    </w:p>
    <w:p w14:paraId="2591D60E" w14:textId="77777777" w:rsidR="00B2468C" w:rsidRDefault="00FB4525">
      <w:pPr>
        <w:pStyle w:val="Heading1"/>
      </w:pPr>
      <w:bookmarkStart w:id="13" w:name="Xed75d1e35f3297de19ec4a596a241ec801c415d"/>
      <w:bookmarkEnd w:id="12"/>
      <w:bookmarkEnd w:id="9"/>
      <w:r>
        <w:t>The Alternative Perspective: Midwifery and Birth Center Models</w:t>
      </w:r>
    </w:p>
    <w:p w14:paraId="66CDA11D" w14:textId="77777777" w:rsidR="00B2468C" w:rsidRDefault="00FB4525">
      <w:r>
        <w:t xml:space="preserve">The argument that rural obstetric care requires physician-staffed hospital units deserves examination. </w:t>
      </w:r>
      <w:r>
        <w:rPr>
          <w:rStyle w:val="Emphasis"/>
        </w:rPr>
        <w:t>Certified nurse midwives and birth centers provide safe maternity care for low-risk pregnancies</w:t>
      </w:r>
      <w:r>
        <w:t xml:space="preserve"> with outcomes comparable or superior to physician-attended hospital births.</w:t>
      </w:r>
    </w:p>
    <w:p w14:paraId="79AAC10E" w14:textId="77777777" w:rsidR="00B2468C" w:rsidRDefault="00FB4525">
      <w:r>
        <w:t>The evidence is substantial. The American Association of Birth Centers Perinatal Data Registry demonstrates low cesarean rates (6% versus 32% nationally), high breastfeeding initiation, and low intervention rates with equivalent safety outcomes. International evidence from the United Kingdom, Netherlands, and New Zealand shows midwifery-led care systems producing maternal and neonatal outcomes superior to the physician-dominated U.S. model.</w:t>
      </w:r>
    </w:p>
    <w:p w14:paraId="26BD2907" w14:textId="77777777" w:rsidR="00B2468C" w:rsidRDefault="00FB4525">
      <w:r>
        <w:rPr>
          <w:rStyle w:val="Emphasis"/>
        </w:rPr>
        <w:t>Why hasn’t midwifery filled the gaps that obstetric closures created?</w:t>
      </w:r>
      <w:r>
        <w:t xml:space="preserve"> Several factors explain the failure:</w:t>
      </w:r>
    </w:p>
    <w:p w14:paraId="41DBBD98" w14:textId="77777777" w:rsidR="00B2468C" w:rsidRDefault="00FB4525">
      <w:r>
        <w:rPr>
          <w:rStyle w:val="Emphasis"/>
        </w:rPr>
        <w:t>Scope of practice restrictions</w:t>
      </w:r>
      <w:r>
        <w:t xml:space="preserve"> limit CNM practice in many states. States requiring physician collaboration or supervision make independent midwifery practice difficult precisely where physicians are absent. The states with the most severe maternity care deserts often have the most restrictive CNM practice environments.</w:t>
      </w:r>
    </w:p>
    <w:p w14:paraId="26055812" w14:textId="77777777" w:rsidR="00B2468C" w:rsidRDefault="00FB4525">
      <w:r>
        <w:rPr>
          <w:rStyle w:val="Emphasis"/>
        </w:rPr>
        <w:t>Hospital credentialing</w:t>
      </w:r>
      <w:r>
        <w:t xml:space="preserve"> requirements can exclude midwives from facility privileges even where scope of practice law permits independent practice. The remaining rural hospitals may not credential midwives, forcing CNMs to practice only in community birth centers without hospital backup.</w:t>
      </w:r>
    </w:p>
    <w:p w14:paraId="36107AF0" w14:textId="77777777" w:rsidR="00B2468C" w:rsidRDefault="00FB4525">
      <w:r>
        <w:rPr>
          <w:rStyle w:val="Emphasis"/>
        </w:rPr>
        <w:t>Medical culture</w:t>
      </w:r>
      <w:r>
        <w:t xml:space="preserve"> in rural areas often resists non-physician providers. Communities whose only prior experience with maternity care was physician-led may distrust midwifery care despite evidence of safety.</w:t>
      </w:r>
    </w:p>
    <w:p w14:paraId="31491F35" w14:textId="77777777" w:rsidR="00B2468C" w:rsidRDefault="00FB4525">
      <w:r>
        <w:rPr>
          <w:rStyle w:val="Emphasis"/>
        </w:rPr>
        <w:lastRenderedPageBreak/>
        <w:t>Birth center viability</w:t>
      </w:r>
      <w:r>
        <w:t xml:space="preserve"> requires sufficient volume to sustain operations. A community with 50 births annually cannot support a freestanding birth center. The same volume limitations that closed hospital obstetric units may prevent birth center alternatives from operating.</w:t>
      </w:r>
    </w:p>
    <w:p w14:paraId="5D3EFBCF" w14:textId="77777777" w:rsidR="00B2468C" w:rsidRDefault="00FB4525">
      <w:r>
        <w:t xml:space="preserve">The alternative perspective suggests that </w:t>
      </w:r>
      <w:r>
        <w:rPr>
          <w:rStyle w:val="Emphasis"/>
        </w:rPr>
        <w:t>professional resistance rather than clinical necessity</w:t>
      </w:r>
      <w:r>
        <w:t xml:space="preserve"> drives the maternal care crisis. If midwifery models were fully enabled and supported, more communities could maintain local maternity care. This view has merit but overestimates how quickly alternative models can scale and underestimates the genuine complexity of emergency obstetric care.</w:t>
      </w:r>
    </w:p>
    <w:p w14:paraId="544F1FF2" w14:textId="77777777" w:rsidR="00B2468C" w:rsidRDefault="00FB4525">
      <w:r>
        <w:rPr>
          <w:rStyle w:val="Emphasis"/>
        </w:rPr>
        <w:t>The honest assessment</w:t>
      </w:r>
      <w:r>
        <w:t>: Midwifery expansion can help but cannot solve the crisis alone. Some rural areas will never have sufficient volume for any organized maternity care model. The question is whether midwifery models, where feasible, receive the policy support and professional acceptance they deserve.</w:t>
      </w:r>
    </w:p>
    <w:p w14:paraId="7A896864" w14:textId="77777777" w:rsidR="00B2468C" w:rsidRDefault="00FB4525">
      <w:pPr>
        <w:pStyle w:val="Heading1"/>
      </w:pPr>
      <w:bookmarkStart w:id="14" w:name="X56e1ee69f493dfdaff93ea8a50e706bc9fcb796"/>
      <w:bookmarkEnd w:id="13"/>
      <w:r>
        <w:t>What Transformation Can and Cannot Achieve</w:t>
      </w:r>
    </w:p>
    <w:p w14:paraId="0476D099" w14:textId="77777777" w:rsidR="00B2468C" w:rsidRDefault="00FB4525">
      <w:r>
        <w:t xml:space="preserve">RHTP maternal and child health investments concentrate in three areas: </w:t>
      </w:r>
      <w:r>
        <w:rPr>
          <w:rStyle w:val="Emphasis"/>
        </w:rPr>
        <w:t>telehealth prenatal care, workforce expansion, and perinatal regionalization</w:t>
      </w:r>
      <w:r>
        <w:t>. Each has promise and limitation.</w:t>
      </w:r>
    </w:p>
    <w:p w14:paraId="5D2D3241" w14:textId="77777777" w:rsidR="00B2468C" w:rsidRDefault="00FB4525">
      <w:r>
        <w:rPr>
          <w:rStyle w:val="Emphasis"/>
        </w:rPr>
        <w:t>Telehealth prenatal care</w:t>
      </w:r>
      <w:r>
        <w:t xml:space="preserve"> </w:t>
      </w:r>
      <w:r>
        <w:t>can extend specialist reach for high-risk pregnancy management. Remote fetal monitoring, gestational diabetes management, and prenatal consultation can improve care between in-person visits. But telehealth cannot deliver babies. It supplements but cannot substitute for delivery capacity.</w:t>
      </w:r>
    </w:p>
    <w:p w14:paraId="29EDDC0E" w14:textId="77777777" w:rsidR="00B2468C" w:rsidRDefault="00FB4525">
      <w:r>
        <w:rPr>
          <w:rStyle w:val="Emphasis"/>
        </w:rPr>
        <w:t>Workforce expansion</w:t>
      </w:r>
      <w:r>
        <w:t xml:space="preserve"> through midwifery training, OB-GYN residency development, and loan repayment programs addresses supply but not distribution. Trained providers must still choose rural practice. The evidence on rural recruitment programs is mixed: loan repayment helps retention but does not transform practice economics.</w:t>
      </w:r>
    </w:p>
    <w:p w14:paraId="251FC2E7" w14:textId="77777777" w:rsidR="00B2468C" w:rsidRDefault="00FB4525">
      <w:r>
        <w:rPr>
          <w:rStyle w:val="Emphasis"/>
        </w:rPr>
        <w:t>Perinatal regionalization</w:t>
      </w:r>
      <w:r>
        <w:t xml:space="preserve"> connects high-risk patients to appropriate levels of care through transfer protocols and referral networks. The evidence for regionalization is strong for neonatal outcomes. But regionalization assumes patients can reach facilities when labor begins. A woman in active labor 90 miles from the nearest delivery hospital cannot be regionalized; she can only be transported, if time permits.</w:t>
      </w:r>
    </w:p>
    <w:p w14:paraId="4E84EC23" w14:textId="77777777" w:rsidR="00B2468C" w:rsidRDefault="00FB4525">
      <w:r>
        <w:rPr>
          <w:rStyle w:val="Emphasis"/>
        </w:rPr>
        <w:t>What transformation cannot achieve:</w:t>
      </w:r>
    </w:p>
    <w:p w14:paraId="5C63DAD9" w14:textId="77777777" w:rsidR="00B2468C" w:rsidRDefault="00FB4525">
      <w:r>
        <w:t>Transformation cannot restore obstetric capacity to communities where volume does not support it. If 50 births annually cannot sustain an obstetric unit at any reimbursement rate, grants cannot change that arithmetic.</w:t>
      </w:r>
    </w:p>
    <w:p w14:paraId="7DCF9264" w14:textId="77777777" w:rsidR="00B2468C" w:rsidRDefault="00FB4525">
      <w:r>
        <w:t>Transformation cannot recruit pediatric subspecialists to rural practice. The combination of lower income, professional isolation, and limited case volume makes rural pediatric subspecialty practice unviable regardless of incentives.</w:t>
      </w:r>
    </w:p>
    <w:p w14:paraId="1F30052F" w14:textId="77777777" w:rsidR="00B2468C" w:rsidRDefault="00FB4525">
      <w:r>
        <w:t>Transformation cannot compress geography. Distance is irreducible. No policy intervention makes Springfield closer to the Ozarks.</w:t>
      </w:r>
    </w:p>
    <w:p w14:paraId="1043A37C" w14:textId="77777777" w:rsidR="00B2468C" w:rsidRDefault="00FB4525">
      <w:r>
        <w:rPr>
          <w:rStyle w:val="Emphasis"/>
        </w:rPr>
        <w:t>What transformation might achieve:</w:t>
      </w:r>
    </w:p>
    <w:p w14:paraId="0DE3837F" w14:textId="77777777" w:rsidR="00B2468C" w:rsidRDefault="00FB4525">
      <w:r>
        <w:t>Transformation might sustain existing rural obstetric capacity through supplemental funding, preventing closures that would otherwise occur.</w:t>
      </w:r>
    </w:p>
    <w:p w14:paraId="6C38627F" w14:textId="77777777" w:rsidR="00B2468C" w:rsidRDefault="00FB4525">
      <w:r>
        <w:t>Transformation might expand midwifery practice through scope reform and training support, enabling alternative models where physician-led care is absent.</w:t>
      </w:r>
    </w:p>
    <w:p w14:paraId="4A27874A" w14:textId="77777777" w:rsidR="00B2468C" w:rsidRDefault="00FB4525">
      <w:r>
        <w:t>Transformation might improve pediatric access through telehealth for developmental evaluation, behavioral health consultation, and chronic disease management.</w:t>
      </w:r>
    </w:p>
    <w:p w14:paraId="697E041D" w14:textId="77777777" w:rsidR="00B2468C" w:rsidRDefault="00FB4525">
      <w:r>
        <w:t>Transformation might reduce infant mortality through home visiting, doula support, and community health worker programs that address social determinants.</w:t>
      </w:r>
    </w:p>
    <w:p w14:paraId="2270AB66" w14:textId="77777777" w:rsidR="00B2468C" w:rsidRDefault="00FB4525">
      <w:r>
        <w:rPr>
          <w:rStyle w:val="Emphasis"/>
        </w:rPr>
        <w:t>The appropriate aspiration is harm reduction</w:t>
      </w:r>
      <w:r>
        <w:t>, not reversal of the access crisis. Rural maternal and child health will remain worse than urban for the foreseeable future. The question is whether transformation efforts can prevent further deterioration and improve outcomes within existing constraints.</w:t>
      </w:r>
    </w:p>
    <w:p w14:paraId="576C19E2" w14:textId="77777777" w:rsidR="00B2468C" w:rsidRDefault="00FB4525">
      <w:pPr>
        <w:pStyle w:val="Heading1"/>
      </w:pPr>
      <w:bookmarkStart w:id="15" w:name="conclusion"/>
      <w:bookmarkEnd w:id="14"/>
      <w:r>
        <w:lastRenderedPageBreak/>
        <w:t>Conclusion</w:t>
      </w:r>
    </w:p>
    <w:p w14:paraId="6929C4EC" w14:textId="77777777" w:rsidR="00B2468C" w:rsidRDefault="00FB4525">
      <w:r>
        <w:t xml:space="preserve">Rural maternal and child health represents the starkest test of whether communities will invest in their futures or accept generational abandonment as the price of rural residence. The clinical reality is unambiguous: </w:t>
      </w:r>
      <w:r>
        <w:rPr>
          <w:rStyle w:val="Emphasis"/>
        </w:rPr>
        <w:t>maternal mortality rates 50% higher than urban, infant mortality 25% higher, maternity care deserts covering a third of counties, and pediatric specialty care essentially nonexistent</w:t>
      </w:r>
      <w:r>
        <w:t>.</w:t>
      </w:r>
    </w:p>
    <w:p w14:paraId="02747911" w14:textId="77777777" w:rsidR="00B2468C" w:rsidRDefault="00FB4525">
      <w:r>
        <w:t>The tensions explored in this article have no clean resolution. Lifecycle investment competes with immediate adult healthcare needs in resource-constrained environments. Quality improvement through centralization conflicts with equity achieved through proximity. These are genuine tensions, not false choices.</w:t>
      </w:r>
    </w:p>
    <w:p w14:paraId="495520CC" w14:textId="77777777" w:rsidR="00B2468C" w:rsidRDefault="00FB4525">
      <w:r>
        <w:t>What is not debatable is that the current system fails rural mothers and children. Women deliver in vehicles because policy choices eliminated local obstetric care. Children with developmental delays miss intervention windows because pediatric specialists do not exist. Preventable maternal deaths occur because distance exceeds the time available for emergency response.</w:t>
      </w:r>
    </w:p>
    <w:p w14:paraId="61D7FE9D" w14:textId="77777777" w:rsidR="00B2468C" w:rsidRDefault="00FB4525">
      <w:r>
        <w:t xml:space="preserve">RHTP investments in telehealth, workforce, and regionalization offer incremental improvement, not transformation. </w:t>
      </w:r>
      <w:r>
        <w:rPr>
          <w:rStyle w:val="Emphasis"/>
        </w:rPr>
        <w:t>The arithmetic of rural obstetric sustainability has not changed.</w:t>
      </w:r>
      <w:r>
        <w:t xml:space="preserve"> The geography of pediatric specialty distribution has not changed. Grant funding can improve outcomes at the margins; it cannot recreate healthcare infrastructure that market forces dismantled.</w:t>
      </w:r>
    </w:p>
    <w:p w14:paraId="364FA8F9" w14:textId="77777777" w:rsidR="00B2468C" w:rsidRDefault="00FB4525">
      <w:r>
        <w:t>The honest conclusion is uncomfortable: rural mothers and children will continue to experience worse outcomes than their urban counterparts. The question for transformation planning is whether we accept this reality while working to minimize harm, or whether we pretend that five years of federal investment can reverse decades of disinvestment and the fundamental economics of low-volume healthcare delivery.</w:t>
      </w:r>
    </w:p>
    <w:p w14:paraId="29122D6D" w14:textId="77777777" w:rsidR="00B2468C" w:rsidRDefault="00FB4525">
      <w:pPr>
        <w:pStyle w:val="Heading1"/>
      </w:pPr>
      <w:bookmarkStart w:id="16" w:name="cross-references"/>
      <w:bookmarkEnd w:id="15"/>
      <w:r>
        <w:t>Cross-References</w:t>
      </w:r>
    </w:p>
    <w:p w14:paraId="396587B0" w14:textId="77777777" w:rsidR="00B2468C" w:rsidRDefault="00FB4525">
      <w:r>
        <w:rPr>
          <w:rStyle w:val="Emphasis"/>
        </w:rPr>
        <w:t>Series 4 Transformation Approaches</w:t>
      </w:r>
      <w:r>
        <w:t xml:space="preserve"> - 4B Workforce Recruitment and Retention: OB-GYN and midwifery pipeline - 4C Telehealth and Virtual Care: prenatal care evidence - 4D Community Health Workers: perinatal CHW programs - 4L Maternal Child Health: comprehensive intervention evidence</w:t>
      </w:r>
    </w:p>
    <w:p w14:paraId="071343A8" w14:textId="77777777" w:rsidR="00B2468C" w:rsidRDefault="00FB4525">
      <w:r>
        <w:rPr>
          <w:rStyle w:val="Emphasis"/>
        </w:rPr>
        <w:t>Series 7 Healthcare Providers</w:t>
      </w:r>
      <w:r>
        <w:t xml:space="preserve"> - 7A Critical Access Hospitals: obstetric capacity and closure patterns</w:t>
      </w:r>
    </w:p>
    <w:p w14:paraId="091739E9" w14:textId="77777777" w:rsidR="00B2468C" w:rsidRDefault="00FB4525">
      <w:r>
        <w:rPr>
          <w:rStyle w:val="Emphasis"/>
        </w:rPr>
        <w:t>Series 9 Special Populations</w:t>
      </w:r>
      <w:r>
        <w:t xml:space="preserve"> - 9K Rural Children and Families: child health as population focus</w:t>
      </w:r>
    </w:p>
    <w:p w14:paraId="5B1543C2" w14:textId="77777777" w:rsidR="00B2468C" w:rsidRDefault="00FB4525">
      <w:r>
        <w:rPr>
          <w:rStyle w:val="Emphasis"/>
        </w:rPr>
        <w:t>Series 10 Regional Deep Dives</w:t>
      </w:r>
      <w:r>
        <w:t xml:space="preserve"> - 10B Mississippi Delta: concentrated maternal mortality </w:t>
      </w:r>
      <w:r>
        <w:t>- 10D Appalachian Mountains: regional MCH patterns</w:t>
      </w:r>
    </w:p>
    <w:p w14:paraId="59D55872" w14:textId="77777777" w:rsidR="00B2468C" w:rsidRDefault="00FB4525">
      <w:pPr>
        <w:pStyle w:val="Heading1"/>
      </w:pPr>
      <w:bookmarkStart w:id="17" w:name="sources"/>
      <w:bookmarkEnd w:id="16"/>
      <w:r>
        <w:t>Sources</w:t>
      </w:r>
    </w:p>
    <w:p w14:paraId="68AEE7A0" w14:textId="77777777" w:rsidR="00B2468C" w:rsidRDefault="00FB4525">
      <w:r>
        <w:t>American Association of Birth Centers. “Perinatal Data Registry: Quality Outcomes in Birth Center Care.” AABC, 2024.</w:t>
      </w:r>
    </w:p>
    <w:p w14:paraId="18F8D9A4" w14:textId="77777777" w:rsidR="00B2468C" w:rsidRDefault="00FB4525">
      <w:r>
        <w:t>Brigance, Celeste, et al. “Nowhere to Go: Maternity Care Deserts Across the US.” March of Dimes, Report No. 4, 2024.</w:t>
      </w:r>
    </w:p>
    <w:p w14:paraId="1DC22D5D" w14:textId="77777777" w:rsidR="00B2468C" w:rsidRDefault="00FB4525">
      <w:r>
        <w:t>Centers for Disease Control and Prevention. “Health E-Stat 100: Maternal Mortality Rates in the United States, 2023.” National Center for Health Statistics, Feb. 2025.</w:t>
      </w:r>
    </w:p>
    <w:p w14:paraId="3D5318E2" w14:textId="77777777" w:rsidR="00B2468C" w:rsidRDefault="00FB4525">
      <w:r>
        <w:t>Commonwealth Fund. “Maternal Mortality in the United States, 2025.” Commonwealth Fund Issue Brief, July 2025.</w:t>
      </w:r>
    </w:p>
    <w:p w14:paraId="37EE769C" w14:textId="77777777" w:rsidR="00B2468C" w:rsidRDefault="00FB4525">
      <w:r>
        <w:t>Government Accountability Office. “Maternal Health: Availability of Hospital-Based Obstetric Care in Rural Areas.” GAO-23-105515, Oct. 2022.</w:t>
      </w:r>
    </w:p>
    <w:p w14:paraId="524916B6" w14:textId="77777777" w:rsidR="00B2468C" w:rsidRDefault="00FB4525">
      <w:r>
        <w:t>Health Resources and Services Administration. “Area Health Resource Files: Pediatric Workforce Distribution.” HRSA, 2024.</w:t>
      </w:r>
    </w:p>
    <w:p w14:paraId="58F92E5D" w14:textId="77777777" w:rsidR="00B2468C" w:rsidRDefault="00FB4525">
      <w:r>
        <w:t>Kozhimannil, Katy B., et al. “Rural-Urban Differences in Severe Maternal Morbidity and Mortality in the US, 2007-2015.” Health Affairs, vol. 38, no. 12, 2019.</w:t>
      </w:r>
    </w:p>
    <w:p w14:paraId="6A74955A" w14:textId="77777777" w:rsidR="00B2468C" w:rsidRDefault="00FB4525">
      <w:r>
        <w:t>Merkt, Peter T., et al. “Urban-Rural Differences in Pregnancy-Related Deaths, United States, 2011-2016.” American Journal of Obstetrics and Gynecology, vol. 225, no. 2, 2021.</w:t>
      </w:r>
    </w:p>
    <w:p w14:paraId="1592894C" w14:textId="77777777" w:rsidR="00B2468C" w:rsidRDefault="00FB4525">
      <w:r>
        <w:lastRenderedPageBreak/>
        <w:t>National Center for Health Statistics. “Provisional Maternal Mortality Rates.” CDC WONDER Database, 2025.</w:t>
      </w:r>
    </w:p>
    <w:p w14:paraId="31A9D5CB" w14:textId="77777777" w:rsidR="00B2468C" w:rsidRDefault="00FB4525">
      <w:r>
        <w:t>Rural Health Information Hub. “Maternal and Child Health in Rural Areas.” RHIhub, 2025.</w:t>
      </w:r>
    </w:p>
    <w:bookmarkEnd w:id="17"/>
    <w:sectPr w:rsidR="00B2468C">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A5993" w14:textId="77777777" w:rsidR="00FB4525" w:rsidRDefault="00FB4525">
      <w:pPr>
        <w:spacing w:before="0" w:line="240" w:lineRule="auto"/>
      </w:pPr>
      <w:r>
        <w:separator/>
      </w:r>
    </w:p>
  </w:endnote>
  <w:endnote w:type="continuationSeparator" w:id="0">
    <w:p w14:paraId="07483686" w14:textId="77777777" w:rsidR="00FB4525" w:rsidRDefault="00FB452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LT Pro">
    <w:altName w:val="Calibri"/>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F2A7F" w14:textId="77777777" w:rsidR="00FB4525" w:rsidRDefault="00FB4525" w:rsidP="000F4A8A">
    <w:pPr>
      <w:pStyle w:val="Footer"/>
    </w:pPr>
    <w:r>
      <w:rPr>
        <w:noProof/>
        <w14:ligatures w14:val="standardContextual"/>
      </w:rPr>
      <mc:AlternateContent>
        <mc:Choice Requires="wps">
          <w:drawing>
            <wp:anchor distT="0" distB="0" distL="114300" distR="114300" simplePos="0" relativeHeight="251657216" behindDoc="0" locked="0" layoutInCell="1" allowOverlap="1" wp14:anchorId="2416F9D9" wp14:editId="54DAE18F">
              <wp:simplePos x="0" y="0"/>
              <wp:positionH relativeFrom="margin">
                <wp:align>right</wp:align>
              </wp:positionH>
              <wp:positionV relativeFrom="paragraph">
                <wp:posOffset>-56318</wp:posOffset>
              </wp:positionV>
              <wp:extent cx="5928303" cy="3399"/>
              <wp:effectExtent l="0" t="0" r="34925" b="34925"/>
              <wp:wrapNone/>
              <wp:docPr id="1330319518" name="Straight Connector 4"/>
              <wp:cNvGraphicFramePr/>
              <a:graphic xmlns:a="http://schemas.openxmlformats.org/drawingml/2006/main">
                <a:graphicData uri="http://schemas.microsoft.com/office/word/2010/wordprocessingShape">
                  <wps:wsp>
                    <wps:cNvCnPr/>
                    <wps:spPr>
                      <a:xfrm flipV="1">
                        <a:off x="0" y="0"/>
                        <a:ext cx="5928303" cy="339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57F177" id="Straight Connector 4" o:spid="_x0000_s1026" style="position:absolute;flip:y;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5.6pt,-4.45pt" to="882.4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" strokecolor="#156082 [3204]" strokeweight=".5pt">
              <v:stroke joinstyle="miter"/>
              <w10:wrap anchorx="margin"/>
            </v:line>
          </w:pict>
        </mc:Fallback>
      </mc:AlternateContent>
    </w:r>
    <w:r>
      <w:rPr>
        <w:noProof/>
      </w:rPr>
      <mc:AlternateContent>
        <mc:Choice Requires="wps">
          <w:drawing>
            <wp:anchor distT="45720" distB="45720" distL="114300" distR="114300" simplePos="0" relativeHeight="251658240" behindDoc="0" locked="0" layoutInCell="1" allowOverlap="1" wp14:anchorId="39B40326" wp14:editId="768430D3">
              <wp:simplePos x="0" y="0"/>
              <wp:positionH relativeFrom="margin">
                <wp:align>left</wp:align>
              </wp:positionH>
              <wp:positionV relativeFrom="paragraph">
                <wp:posOffset>-25726</wp:posOffset>
              </wp:positionV>
              <wp:extent cx="4538007" cy="237691"/>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8007" cy="237691"/>
                      </a:xfrm>
                      <a:prstGeom prst="rect">
                        <a:avLst/>
                      </a:prstGeom>
                      <a:solidFill>
                        <a:srgbClr val="FFFFFF"/>
                      </a:solidFill>
                      <a:ln w="9525">
                        <a:noFill/>
                        <a:miter lim="800000"/>
                        <a:headEnd/>
                        <a:tailEnd/>
                      </a:ln>
                    </wps:spPr>
                    <wps:txbx>
                      <w:txbxContent>
                        <w:p w14:paraId="60C63527" w14:textId="77777777" w:rsidR="00FB4525" w:rsidRPr="00B31822" w:rsidRDefault="00FB4525" w:rsidP="000F4A8A">
                          <w:pPr>
                            <w:pStyle w:val="Footer"/>
                            <w:ind w:left="-144"/>
                            <w:rPr>
                              <w:color w:val="156082" w:themeColor="accent1"/>
                              <w:lang w:val="fr-FR"/>
                            </w:rPr>
                          </w:pPr>
                          <w:r w:rsidRPr="00B31822">
                            <w:rPr>
                              <w:color w:val="156082" w:themeColor="accent1"/>
                              <w:lang w:val="fr-FR"/>
                            </w:rPr>
                            <w:t xml:space="preserve">2002 N. Lois Avenue, Suite 200, Tampa, FL 33607 | GroundGame.Health               </w:t>
                          </w:r>
                        </w:p>
                        <w:p w14:paraId="2EF208F6" w14:textId="77777777" w:rsidR="00FB4525" w:rsidRPr="00B31822" w:rsidRDefault="00FB4525" w:rsidP="000F4A8A">
                          <w:pPr>
                            <w:spacing w:before="0" w:line="240" w:lineRule="auto"/>
                            <w:ind w:left="-144"/>
                            <w:rPr>
                              <w:color w:val="156082" w:themeColor="accen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B40326" id="_x0000_t202" coordsize="21600,21600" o:spt="202" path="m,l,21600r21600,l21600,xe">
              <v:stroke joinstyle="miter"/>
              <v:path gradientshapeok="t" o:connecttype="rect"/>
            </v:shapetype>
            <v:shape id="_x0000_s1032" type="#_x0000_t202" style="position:absolute;margin-left:0;margin-top:-2.05pt;width:357.3pt;height:18.7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" stroked="f">
              <v:textbox>
                <w:txbxContent>
                  <w:p w14:paraId="60C63527" w14:textId="77777777" w:rsidR="00FB4525" w:rsidRPr="00B31822" w:rsidRDefault="00FB4525" w:rsidP="000F4A8A">
                    <w:pPr>
                      <w:pStyle w:val="Footer"/>
                      <w:ind w:left="-144"/>
                      <w:rPr>
                        <w:color w:val="156082" w:themeColor="accent1"/>
                        <w:lang w:val="fr-FR"/>
                      </w:rPr>
                    </w:pPr>
                    <w:r w:rsidRPr="00B31822">
                      <w:rPr>
                        <w:color w:val="156082" w:themeColor="accent1"/>
                        <w:lang w:val="fr-FR"/>
                      </w:rPr>
                      <w:t xml:space="preserve">2002 N. Lois Avenue, Suite 200, Tampa, FL 33607 | GroundGame.Health               </w:t>
                    </w:r>
                  </w:p>
                  <w:p w14:paraId="2EF208F6" w14:textId="77777777" w:rsidR="00FB4525" w:rsidRPr="00B31822" w:rsidRDefault="00FB4525" w:rsidP="000F4A8A">
                    <w:pPr>
                      <w:spacing w:before="0" w:line="240" w:lineRule="auto"/>
                      <w:ind w:left="-144"/>
                      <w:rPr>
                        <w:color w:val="156082" w:themeColor="accent1"/>
                      </w:rPr>
                    </w:pPr>
                  </w:p>
                </w:txbxContent>
              </v:textbox>
              <w10:wrap anchorx="margin"/>
            </v:shape>
          </w:pict>
        </mc:Fallback>
      </mc:AlternateContent>
    </w:r>
    <w:r>
      <w:tab/>
    </w:r>
    <w:r>
      <w:tab/>
    </w:r>
  </w:p>
  <w:p w14:paraId="554DFAEB" w14:textId="77777777" w:rsidR="00FB4525" w:rsidRPr="00E71036" w:rsidRDefault="00FB4525" w:rsidP="000F4A8A">
    <w:pPr>
      <w:pStyle w:val="Footer"/>
      <w:jc w:val="right"/>
      <w:rPr>
        <w:i/>
        <w:iCs/>
        <w:sz w:val="16"/>
        <w:szCs w:val="16"/>
      </w:rPr>
    </w:pPr>
    <w:r>
      <w:rPr>
        <w:noProof/>
      </w:rPr>
      <mc:AlternateContent>
        <mc:Choice Requires="wps">
          <w:drawing>
            <wp:anchor distT="45720" distB="45720" distL="114300" distR="114300" simplePos="0" relativeHeight="251659264" behindDoc="0" locked="0" layoutInCell="1" allowOverlap="1" wp14:anchorId="44EDD346" wp14:editId="4669BCC8">
              <wp:simplePos x="0" y="0"/>
              <wp:positionH relativeFrom="margin">
                <wp:align>right</wp:align>
              </wp:positionH>
              <wp:positionV relativeFrom="paragraph">
                <wp:posOffset>96745</wp:posOffset>
              </wp:positionV>
              <wp:extent cx="4129405" cy="253584"/>
              <wp:effectExtent l="0" t="0" r="0" b="0"/>
              <wp:wrapNone/>
              <wp:docPr id="1868881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9405" cy="253584"/>
                      </a:xfrm>
                      <a:prstGeom prst="rect">
                        <a:avLst/>
                      </a:prstGeom>
                      <a:noFill/>
                      <a:ln w="9525">
                        <a:noFill/>
                        <a:miter lim="800000"/>
                        <a:headEnd/>
                        <a:tailEnd/>
                      </a:ln>
                    </wps:spPr>
                    <wps:txbx>
                      <w:txbxContent>
                        <w:p w14:paraId="614A0568" w14:textId="77777777" w:rsidR="00FB4525" w:rsidRPr="00046EE7" w:rsidRDefault="00FB4525" w:rsidP="000F4A8A">
                          <w:pPr>
                            <w:spacing w:before="0" w:line="240" w:lineRule="auto"/>
                            <w:jc w:val="right"/>
                            <w:rPr>
                              <w:i/>
                              <w:iCs/>
                              <w:szCs w:val="20"/>
                            </w:rPr>
                          </w:pPr>
                          <w:r w:rsidRPr="00B07560">
                            <w:t>Syam Adusumilli,</w:t>
                          </w:r>
                          <w:r>
                            <w:t xml:space="preserve"> </w:t>
                          </w:r>
                          <w:r w:rsidRPr="00B07560">
                            <w:t>Chief</w:t>
                          </w:r>
                          <w:r>
                            <w:t xml:space="preserve"> E</w:t>
                          </w:r>
                          <w:r w:rsidRPr="00B07560">
                            <w:t>vangelist</w:t>
                          </w:r>
                          <w:r>
                            <w:t xml:space="preserve">, </w:t>
                          </w:r>
                          <w:r>
                            <w:rPr>
                              <w:i/>
                              <w:iCs/>
                              <w:szCs w:val="20"/>
                            </w:rPr>
                            <w:t>s</w:t>
                          </w:r>
                          <w:r w:rsidRPr="00046EE7">
                            <w:rPr>
                              <w:i/>
                              <w:iCs/>
                              <w:szCs w:val="20"/>
                            </w:rPr>
                            <w:t>yam.a@groundgame.health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EDD346" id="_x0000_s1033" type="#_x0000_t202" style="position:absolute;left:0;text-align:left;margin-left:273.95pt;margin-top:7.6pt;width:325.15pt;height:19.9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" filled="f" stroked="f">
              <v:textbox>
                <w:txbxContent>
                  <w:p w14:paraId="614A0568" w14:textId="77777777" w:rsidR="00FB4525" w:rsidRPr="00046EE7" w:rsidRDefault="00FB4525" w:rsidP="000F4A8A">
                    <w:pPr>
                      <w:spacing w:before="0" w:line="240" w:lineRule="auto"/>
                      <w:jc w:val="right"/>
                      <w:rPr>
                        <w:i/>
                        <w:iCs/>
                        <w:szCs w:val="20"/>
                      </w:rPr>
                    </w:pPr>
                    <w:r w:rsidRPr="00B07560">
                      <w:t>Syam Adusumilli,</w:t>
                    </w:r>
                    <w:r>
                      <w:t xml:space="preserve"> </w:t>
                    </w:r>
                    <w:r w:rsidRPr="00B07560">
                      <w:t>Chief</w:t>
                    </w:r>
                    <w:r>
                      <w:t xml:space="preserve"> E</w:t>
                    </w:r>
                    <w:r w:rsidRPr="00B07560">
                      <w:t>vangelist</w:t>
                    </w:r>
                    <w:r>
                      <w:t xml:space="preserve">, </w:t>
                    </w:r>
                    <w:r>
                      <w:rPr>
                        <w:i/>
                        <w:iCs/>
                        <w:szCs w:val="20"/>
                      </w:rPr>
                      <w:t>s</w:t>
                    </w:r>
                    <w:r w:rsidRPr="00046EE7">
                      <w:rPr>
                        <w:i/>
                        <w:iCs/>
                        <w:szCs w:val="20"/>
                      </w:rPr>
                      <w:t>yam.a@groundgame.health</w:t>
                    </w:r>
                  </w:p>
                </w:txbxContent>
              </v:textbox>
              <w10:wrap anchorx="margin"/>
            </v:shape>
          </w:pict>
        </mc:Fallback>
      </mc:AlternateContent>
    </w:r>
  </w:p>
  <w:p w14:paraId="2B9FDD5E" w14:textId="77777777" w:rsidR="00FB4525" w:rsidRPr="006D16AB" w:rsidRDefault="00FB4525" w:rsidP="006D16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DD955" w14:textId="77777777" w:rsidR="00B2468C" w:rsidRDefault="00FB4525">
      <w:r>
        <w:separator/>
      </w:r>
    </w:p>
  </w:footnote>
  <w:footnote w:type="continuationSeparator" w:id="0">
    <w:p w14:paraId="74872BA9" w14:textId="77777777" w:rsidR="00B2468C" w:rsidRDefault="00FB45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4E9A4" w14:textId="77777777" w:rsidR="00FB4525" w:rsidRDefault="00FB4525">
    <w:pPr>
      <w:pStyle w:val="Header"/>
    </w:pPr>
    <w:r>
      <w:rPr>
        <w:noProof/>
      </w:rPr>
      <mc:AlternateContent>
        <mc:Choice Requires="wps">
          <w:drawing>
            <wp:anchor distT="45720" distB="45720" distL="114300" distR="114300" simplePos="0" relativeHeight="251656192" behindDoc="0" locked="0" layoutInCell="1" allowOverlap="1" wp14:anchorId="6EA4F216" wp14:editId="1CDF87CE">
              <wp:simplePos x="0" y="0"/>
              <wp:positionH relativeFrom="margin">
                <wp:posOffset>-57329</wp:posOffset>
              </wp:positionH>
              <wp:positionV relativeFrom="paragraph">
                <wp:posOffset>-227883</wp:posOffset>
              </wp:positionV>
              <wp:extent cx="4675192" cy="690044"/>
              <wp:effectExtent l="0" t="0" r="0" b="0"/>
              <wp:wrapNone/>
              <wp:docPr id="8306903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5192" cy="690044"/>
                      </a:xfrm>
                      <a:prstGeom prst="rect">
                        <a:avLst/>
                      </a:prstGeom>
                      <a:solidFill>
                        <a:srgbClr val="FFFFFF"/>
                      </a:solidFill>
                      <a:ln w="9525">
                        <a:noFill/>
                        <a:miter lim="800000"/>
                        <a:headEnd/>
                        <a:tailEnd/>
                      </a:ln>
                    </wps:spPr>
                    <wps:txbx>
                      <w:txbxContent>
                        <w:p w14:paraId="66106BD6" w14:textId="77777777" w:rsidR="00B2468C" w:rsidRDefault="00FB4525">
                          <w:pPr>
                            <w:pStyle w:val="Title"/>
                            <w:rPr>
                              <w:rFonts w:ascii="Aptos Display" w:hAnsi="Aptos Display"/>
                              <w:sz w:val="22"/>
                              <w:szCs w:val="22"/>
                            </w:rPr>
                          </w:pPr>
                          <w:r>
                            <w:rPr>
                              <w:rFonts w:ascii="Aptos Display" w:hAnsi="Aptos Display"/>
                              <w:sz w:val="22"/>
                              <w:szCs w:val="22"/>
                            </w:rPr>
                            <w:t>RHTP 11.E:</w:t>
                          </w:r>
                        </w:p>
                        <w:p w14:paraId="1F05E901" w14:textId="77777777" w:rsidR="00B2468C" w:rsidRDefault="00FB4525">
                          <w:pPr>
                            <w:pStyle w:val="Title"/>
                            <w:rPr>
                              <w:rFonts w:ascii="Aptos Display" w:hAnsi="Aptos Display"/>
                              <w:sz w:val="28"/>
                              <w:szCs w:val="28"/>
                            </w:rPr>
                          </w:pPr>
                          <w:r>
                            <w:rPr>
                              <w:rFonts w:ascii="Aptos Display" w:hAnsi="Aptos Display"/>
                              <w:sz w:val="28"/>
                              <w:szCs w:val="28"/>
                            </w:rPr>
                            <w:t>Maternal and Child Health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A4F216" id="_x0000_t202" coordsize="21600,21600" o:spt="202" path="m,l,21600r21600,l21600,xe">
              <v:stroke joinstyle="miter"/>
              <v:path gradientshapeok="t" o:connecttype="rect"/>
            </v:shapetype>
            <v:shape id="Text Box 2" o:spid="_x0000_s1026" type="#_x0000_t202" style="position:absolute;margin-left:-4.5pt;margin-top:-17.95pt;width:368.15pt;height:54.3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" stroked="f">
              <v:textbox>
                <w:txbxContent>
                  <w:p w14:paraId="66106BD6" w14:textId="77777777" w:rsidR="00B2468C" w:rsidRDefault="00FB4525">
                    <w:pPr>
                      <w:pStyle w:val="Title"/>
                      <w:rPr>
                        <w:rFonts w:ascii="Aptos Display" w:hAnsi="Aptos Display"/>
                        <w:sz w:val="22"/>
                        <w:szCs w:val="22"/>
                      </w:rPr>
                    </w:pPr>
                    <w:r>
                      <w:rPr>
                        <w:rFonts w:ascii="Aptos Display" w:hAnsi="Aptos Display"/>
                        <w:sz w:val="22"/>
                        <w:szCs w:val="22"/>
                      </w:rPr>
                      <w:t>RHTP 11.E:</w:t>
                    </w:r>
                  </w:p>
                  <w:p w14:paraId="1F05E901" w14:textId="77777777" w:rsidR="00B2468C" w:rsidRDefault="00FB4525">
                    <w:pPr>
                      <w:pStyle w:val="Title"/>
                      <w:rPr>
                        <w:rFonts w:ascii="Aptos Display" w:hAnsi="Aptos Display"/>
                        <w:sz w:val="28"/>
                        <w:szCs w:val="28"/>
                      </w:rPr>
                    </w:pPr>
                    <w:r>
                      <w:rPr>
                        <w:rFonts w:ascii="Aptos Display" w:hAnsi="Aptos Display"/>
                        <w:sz w:val="28"/>
                        <w:szCs w:val="28"/>
                      </w:rPr>
                      <w:t>Maternal and Child Health</w:t>
                    </w:r>
                  </w:p>
                </w:txbxContent>
              </v:textbox>
              <w10:wrap anchorx="margin"/>
            </v:shape>
          </w:pict>
        </mc:Fallback>
      </mc:AlternateContent>
    </w:r>
    <w:r>
      <w:rPr>
        <w:noProof/>
      </w:rPr>
      <w:drawing>
        <wp:anchor distT="0" distB="0" distL="114300" distR="114300" simplePos="0" relativeHeight="251660288" behindDoc="0" locked="0" layoutInCell="1" allowOverlap="1" wp14:anchorId="3F1AD434" wp14:editId="617C216A">
          <wp:simplePos x="0" y="0"/>
          <wp:positionH relativeFrom="margin">
            <wp:posOffset>4598984</wp:posOffset>
          </wp:positionH>
          <wp:positionV relativeFrom="paragraph">
            <wp:posOffset>55896</wp:posOffset>
          </wp:positionV>
          <wp:extent cx="1488387" cy="377940"/>
          <wp:effectExtent l="0" t="0" r="0" b="3175"/>
          <wp:wrapNone/>
          <wp:docPr id="599323403"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23403" name="Picture 2"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499462" cy="380752"/>
                  </a:xfrm>
                  <a:prstGeom prst="rect">
                    <a:avLst/>
                  </a:prstGeom>
                </pic:spPr>
              </pic:pic>
            </a:graphicData>
          </a:graphic>
          <wp14:sizeRelH relativeFrom="margin">
            <wp14:pctWidth>0</wp14:pctWidth>
          </wp14:sizeRelH>
          <wp14:sizeRelV relativeFrom="margin">
            <wp14:pctHeight>0</wp14:pctHeight>
          </wp14:sizeRelV>
        </wp:anchor>
      </w:drawing>
    </w:r>
    <w:sdt>
      <w:sdtPr>
        <w:id w:val="-1536042918"/>
        <w:docPartObj>
          <w:docPartGallery w:val="Page Numbers (Top of Page)"/>
          <w:docPartUnique/>
        </w:docPartObj>
      </w:sdtPr>
      <w:sdtEndPr/>
      <w:sdtContent>
        <w:r>
          <w:rPr>
            <w:noProof/>
          </w:rPr>
          <mc:AlternateContent>
            <mc:Choice Requires="wpg">
              <w:drawing>
                <wp:anchor distT="0" distB="0" distL="114300" distR="114300" simplePos="0" relativeHeight="251655168" behindDoc="0" locked="0" layoutInCell="0" allowOverlap="1" wp14:anchorId="5E55B916" wp14:editId="5571752B">
                  <wp:simplePos x="0" y="0"/>
                  <wp:positionH relativeFrom="rightMargin">
                    <wp:align>left</wp:align>
                  </wp:positionH>
                  <wp:positionV relativeFrom="margin">
                    <wp:align>top</wp:align>
                  </wp:positionV>
                  <wp:extent cx="902335" cy="1902460"/>
                  <wp:effectExtent l="0" t="9525" r="12065" b="2540"/>
                  <wp:wrapNone/>
                  <wp:docPr id="164101715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902335" cy="1902460"/>
                            <a:chOff x="13" y="11415"/>
                            <a:chExt cx="1425" cy="2996"/>
                          </a:xfrm>
                        </wpg:grpSpPr>
                        <wpg:grpSp>
                          <wpg:cNvPr id="1600616591" name="Group 7"/>
                          <wpg:cNvGrpSpPr>
                            <a:grpSpLocks/>
                          </wpg:cNvGrpSpPr>
                          <wpg:grpSpPr bwMode="auto">
                            <a:xfrm flipV="1">
                              <a:off x="13" y="14340"/>
                              <a:ext cx="1410" cy="71"/>
                              <a:chOff x="-83" y="540"/>
                              <a:chExt cx="1218" cy="71"/>
                            </a:xfrm>
                          </wpg:grpSpPr>
                          <wps:wsp>
                            <wps:cNvPr id="1820961130"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440951311"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972406835"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C78C78" w14:textId="77777777" w:rsidR="00FB4525" w:rsidRDefault="00FB4525">
                                <w:pPr>
                                  <w:pStyle w:val="NoSpacing"/>
                                  <w:jc w:val="right"/>
                                </w:pPr>
                                <w:r>
                                  <w:fldChar w:fldCharType="begin"/>
                                </w:r>
                                <w:r>
                                  <w:instrText xml:space="preserve"> PAGE    \* MERGEFORMAT </w:instrText>
                                </w:r>
                                <w:r>
                                  <w:fldChar w:fldCharType="separate"/>
                                </w:r>
                                <w:r>
                                  <w:rPr>
                                    <w:b/>
                                    <w:bCs/>
                                    <w:noProof/>
                                    <w:color w:val="0B769F" w:themeColor="accent4" w:themeShade="BF"/>
                                    <w:sz w:val="52"/>
                                    <w:szCs w:val="52"/>
                                  </w:rPr>
                                  <w:t>2</w:t>
                                </w:r>
                                <w:r>
                                  <w:rPr>
                                    <w:b/>
                                    <w:bCs/>
                                    <w:noProof/>
                                    <w:color w:val="0B769F" w:themeColor="accent4" w:themeShade="BF"/>
                                    <w:sz w:val="52"/>
                                    <w:szCs w:val="52"/>
                                  </w:rPr>
                                  <w:fldChar w:fldCharType="end"/>
                                </w:r>
                              </w:p>
                            </w:txbxContent>
                          </wps:txbx>
                          <wps:bodyPr rot="0" vert="vert270" wrap="square" lIns="0" tIns="0" rIns="0" bIns="0" anchor="t" anchorCtr="0" upright="1">
                            <a:noAutofit/>
                          </wps:bodyPr>
                        </wps:wsp>
                      </wpg:wgp>
                    </a:graphicData>
                  </a:graphic>
                  <wp14:sizeRelH relativeFrom="leftMargin">
                    <wp14:pctWidth>100000</wp14:pctWidth>
                  </wp14:sizeRelH>
                  <wp14:sizeRelV relativeFrom="page">
                    <wp14:pctHeight>0</wp14:pctHeight>
                  </wp14:sizeRelV>
                </wp:anchor>
              </w:drawing>
            </mc:Choice>
            <mc:Fallback>
              <w:pict>
                <v:group w14:anchorId="5E55B916" id="Group 1" o:spid="_x0000_s1027" style="position:absolute;margin-left:0;margin-top:0;width:71.05pt;height:149.8pt;flip:x y;z-index:251655168;mso-width-percent:1000;mso-position-horizontal:left;mso-position-horizontal-relative:right-margin-area;mso-position-vertical:top;mso-position-vertical-relative:margin;mso-width-percent:1000;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" o:allowincell="f">
                  <v:group id="Group 7" o:spid="_x0000_s1028"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">
                    <v:rect id="Rectangle 8" o:spid="_x0000_s1029"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" fillcolor="#5f497a" strokecolor="#5f497a"/>
                    <v:shapetype id="_x0000_t32" coordsize="21600,21600" o:spt="32" o:oned="t" path="m,l21600,21600e" filled="f">
                      <v:path arrowok="t" fillok="f" o:connecttype="none"/>
                      <o:lock v:ext="edit" shapetype="t"/>
                    </v:shapetype>
                    <v:shape id="AutoShape 9" o:spid="_x0000_s1030"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" strokecolor="#5f497a"/>
                  </v:group>
                  <v:rect id="Rectangle 10" o:spid="_x0000_s1031"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" stroked="f">
                    <v:textbox style="layout-flow:vertical;mso-layout-flow-alt:bottom-to-top" inset="0,0,0,0">
                      <w:txbxContent>
                        <w:p w14:paraId="69C78C78" w14:textId="77777777" w:rsidR="00FB4525" w:rsidRDefault="00FB4525">
                          <w:pPr>
                            <w:pStyle w:val="NoSpacing"/>
                            <w:jc w:val="right"/>
                          </w:pPr>
                          <w:r>
                            <w:fldChar w:fldCharType="begin"/>
                          </w:r>
                          <w:r>
                            <w:instrText xml:space="preserve"> PAGE    \* MERGEFORMAT </w:instrText>
                          </w:r>
                          <w:r>
                            <w:fldChar w:fldCharType="separate"/>
                          </w:r>
                          <w:r>
                            <w:rPr>
                              <w:b/>
                              <w:bCs/>
                              <w:noProof/>
                              <w:color w:val="0B769F" w:themeColor="accent4" w:themeShade="BF"/>
                              <w:sz w:val="52"/>
                              <w:szCs w:val="52"/>
                            </w:rPr>
                            <w:t>2</w:t>
                          </w:r>
                          <w:r>
                            <w:rPr>
                              <w:b/>
                              <w:bCs/>
                              <w:noProof/>
                              <w:color w:val="0B769F" w:themeColor="accent4" w:themeShade="BF"/>
                              <w:sz w:val="52"/>
                              <w:szCs w:val="52"/>
                            </w:rPr>
                            <w:fldChar w:fldCharType="end"/>
                          </w:r>
                        </w:p>
                      </w:txbxContent>
                    </v:textbox>
                  </v:rect>
                  <w10:wrap anchorx="margin" anchory="margin"/>
                </v:group>
              </w:pict>
            </mc:Fallback>
          </mc:AlternateConten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C8529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5EC6D8C"/>
    <w:multiLevelType w:val="multilevel"/>
    <w:tmpl w:val="C10A1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85140"/>
    <w:multiLevelType w:val="multilevel"/>
    <w:tmpl w:val="86A86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A2656"/>
    <w:multiLevelType w:val="multilevel"/>
    <w:tmpl w:val="EF70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8711D"/>
    <w:multiLevelType w:val="multilevel"/>
    <w:tmpl w:val="47F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1737E"/>
    <w:multiLevelType w:val="multilevel"/>
    <w:tmpl w:val="D786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46BEA"/>
    <w:multiLevelType w:val="multilevel"/>
    <w:tmpl w:val="62A2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0067E"/>
    <w:multiLevelType w:val="multilevel"/>
    <w:tmpl w:val="A56CC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7E1BC6"/>
    <w:multiLevelType w:val="multilevel"/>
    <w:tmpl w:val="6DD4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C77A9D"/>
    <w:multiLevelType w:val="multilevel"/>
    <w:tmpl w:val="615A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34E7A"/>
    <w:multiLevelType w:val="multilevel"/>
    <w:tmpl w:val="EAA2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56CD0"/>
    <w:multiLevelType w:val="multilevel"/>
    <w:tmpl w:val="5D0C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940E6"/>
    <w:multiLevelType w:val="multilevel"/>
    <w:tmpl w:val="EB1A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13777"/>
    <w:multiLevelType w:val="multilevel"/>
    <w:tmpl w:val="138C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44F27"/>
    <w:multiLevelType w:val="multilevel"/>
    <w:tmpl w:val="B774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C26AF4"/>
    <w:multiLevelType w:val="multilevel"/>
    <w:tmpl w:val="D2326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E31E72"/>
    <w:multiLevelType w:val="multilevel"/>
    <w:tmpl w:val="50A0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1110D"/>
    <w:multiLevelType w:val="multilevel"/>
    <w:tmpl w:val="9CF6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C36A6D"/>
    <w:multiLevelType w:val="multilevel"/>
    <w:tmpl w:val="5D9EF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0218B5"/>
    <w:multiLevelType w:val="multilevel"/>
    <w:tmpl w:val="1A18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E23A65"/>
    <w:multiLevelType w:val="multilevel"/>
    <w:tmpl w:val="D9705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C56A55"/>
    <w:multiLevelType w:val="multilevel"/>
    <w:tmpl w:val="0856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4D4CE1"/>
    <w:multiLevelType w:val="multilevel"/>
    <w:tmpl w:val="168C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78006B"/>
    <w:multiLevelType w:val="multilevel"/>
    <w:tmpl w:val="87E8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5840FA"/>
    <w:multiLevelType w:val="multilevel"/>
    <w:tmpl w:val="DF72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826B1A"/>
    <w:multiLevelType w:val="multilevel"/>
    <w:tmpl w:val="3E2A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232203">
    <w:abstractNumId w:val="24"/>
  </w:num>
  <w:num w:numId="2" w16cid:durableId="1550805610">
    <w:abstractNumId w:val="17"/>
  </w:num>
  <w:num w:numId="3" w16cid:durableId="30619172">
    <w:abstractNumId w:val="10"/>
  </w:num>
  <w:num w:numId="4" w16cid:durableId="1240483081">
    <w:abstractNumId w:val="11"/>
  </w:num>
  <w:num w:numId="5" w16cid:durableId="515266726">
    <w:abstractNumId w:val="6"/>
  </w:num>
  <w:num w:numId="6" w16cid:durableId="1067149170">
    <w:abstractNumId w:val="9"/>
  </w:num>
  <w:num w:numId="7" w16cid:durableId="608440070">
    <w:abstractNumId w:val="19"/>
  </w:num>
  <w:num w:numId="8" w16cid:durableId="1966036733">
    <w:abstractNumId w:val="4"/>
  </w:num>
  <w:num w:numId="9" w16cid:durableId="673845531">
    <w:abstractNumId w:val="22"/>
  </w:num>
  <w:num w:numId="10" w16cid:durableId="2038849076">
    <w:abstractNumId w:val="23"/>
  </w:num>
  <w:num w:numId="11" w16cid:durableId="263726929">
    <w:abstractNumId w:val="13"/>
  </w:num>
  <w:num w:numId="12" w16cid:durableId="2057654448">
    <w:abstractNumId w:val="3"/>
  </w:num>
  <w:num w:numId="13" w16cid:durableId="1227716637">
    <w:abstractNumId w:val="14"/>
  </w:num>
  <w:num w:numId="14" w16cid:durableId="372073819">
    <w:abstractNumId w:val="12"/>
  </w:num>
  <w:num w:numId="15" w16cid:durableId="1674145809">
    <w:abstractNumId w:val="5"/>
  </w:num>
  <w:num w:numId="16" w16cid:durableId="1752920396">
    <w:abstractNumId w:val="25"/>
  </w:num>
  <w:num w:numId="17" w16cid:durableId="1929608369">
    <w:abstractNumId w:val="16"/>
  </w:num>
  <w:num w:numId="18" w16cid:durableId="1768846872">
    <w:abstractNumId w:val="20"/>
  </w:num>
  <w:num w:numId="19" w16cid:durableId="760953169">
    <w:abstractNumId w:val="8"/>
  </w:num>
  <w:num w:numId="20" w16cid:durableId="262809403">
    <w:abstractNumId w:val="1"/>
  </w:num>
  <w:num w:numId="21" w16cid:durableId="1414474875">
    <w:abstractNumId w:val="18"/>
  </w:num>
  <w:num w:numId="22" w16cid:durableId="55591237">
    <w:abstractNumId w:val="21"/>
  </w:num>
  <w:num w:numId="23" w16cid:durableId="2093548021">
    <w:abstractNumId w:val="7"/>
  </w:num>
  <w:num w:numId="24" w16cid:durableId="1976400285">
    <w:abstractNumId w:val="15"/>
  </w:num>
  <w:num w:numId="25" w16cid:durableId="510527582">
    <w:abstractNumId w:val="2"/>
  </w:num>
  <w:num w:numId="26" w16cid:durableId="735972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68C"/>
    <w:rsid w:val="009A7D97"/>
    <w:rsid w:val="00B2468C"/>
    <w:rsid w:val="00FB4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F50C6"/>
  <w15:docId w15:val="{CB84C326-D30D-4930-BF06-8BED976D9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407"/>
    <w:pPr>
      <w:spacing w:before="40" w:after="0" w:line="259" w:lineRule="auto"/>
    </w:pPr>
    <w:rPr>
      <w:rFonts w:eastAsiaTheme="minorEastAsia"/>
      <w:kern w:val="0"/>
      <w:sz w:val="20"/>
      <w:szCs w:val="22"/>
      <w14:ligatures w14:val="none"/>
    </w:rPr>
  </w:style>
  <w:style w:type="paragraph" w:styleId="Heading1">
    <w:name w:val="heading 1"/>
    <w:basedOn w:val="Normal"/>
    <w:next w:val="Normal"/>
    <w:link w:val="Heading1Char"/>
    <w:autoRedefine/>
    <w:uiPriority w:val="9"/>
    <w:qFormat/>
    <w:rsid w:val="00A56578"/>
    <w:pPr>
      <w:keepNext/>
      <w:keepLines/>
      <w:outlineLvl w:val="0"/>
    </w:pPr>
    <w:rPr>
      <w:rFonts w:asciiTheme="majorHAnsi" w:eastAsiaTheme="majorEastAsia" w:hAnsiTheme="majorHAnsi" w:cstheme="majorBidi"/>
      <w:color w:val="215E99" w:themeColor="text2" w:themeTint="BF"/>
      <w:kern w:val="2"/>
      <w:sz w:val="28"/>
      <w:szCs w:val="28"/>
      <w14:ligatures w14:val="standardContextual"/>
    </w:rPr>
  </w:style>
  <w:style w:type="paragraph" w:styleId="Heading2">
    <w:name w:val="heading 2"/>
    <w:basedOn w:val="Normal"/>
    <w:next w:val="Normal"/>
    <w:link w:val="Heading2Char"/>
    <w:autoRedefine/>
    <w:uiPriority w:val="9"/>
    <w:unhideWhenUsed/>
    <w:qFormat/>
    <w:rsid w:val="00E47B72"/>
    <w:pPr>
      <w:keepNext/>
      <w:keepLines/>
      <w:spacing w:after="80"/>
      <w:outlineLvl w:val="1"/>
    </w:pPr>
    <w:rPr>
      <w:rFonts w:asciiTheme="majorHAnsi" w:eastAsiaTheme="majorEastAsia" w:hAnsiTheme="majorHAnsi" w:cstheme="majorBidi"/>
      <w:color w:val="0B769F" w:themeColor="accent4" w:themeShade="BF"/>
      <w:kern w:val="2"/>
      <w:sz w:val="24"/>
      <w:szCs w:val="26"/>
      <w14:ligatures w14:val="standardContextual"/>
    </w:rPr>
  </w:style>
  <w:style w:type="paragraph" w:styleId="Heading3">
    <w:name w:val="heading 3"/>
    <w:basedOn w:val="Normal"/>
    <w:next w:val="Normal"/>
    <w:link w:val="Heading3Char"/>
    <w:autoRedefine/>
    <w:uiPriority w:val="9"/>
    <w:unhideWhenUsed/>
    <w:qFormat/>
    <w:rsid w:val="00D938B0"/>
    <w:pPr>
      <w:keepNext/>
      <w:keepLines/>
      <w:outlineLvl w:val="2"/>
    </w:pPr>
    <w:rPr>
      <w:rFonts w:eastAsiaTheme="majorEastAsia" w:cstheme="majorBidi"/>
      <w:b/>
      <w:bCs/>
      <w:i/>
      <w:color w:val="80340D" w:themeColor="accent2" w:themeShade="80"/>
      <w:kern w:val="2"/>
      <w:szCs w:val="24"/>
      <w14:ligatures w14:val="standardContextual"/>
    </w:rPr>
  </w:style>
  <w:style w:type="paragraph" w:styleId="Heading4">
    <w:name w:val="heading 4"/>
    <w:basedOn w:val="Normal"/>
    <w:next w:val="Normal"/>
    <w:link w:val="Heading4Char"/>
    <w:autoRedefine/>
    <w:uiPriority w:val="9"/>
    <w:semiHidden/>
    <w:unhideWhenUsed/>
    <w:qFormat/>
    <w:rsid w:val="00045B39"/>
    <w:pPr>
      <w:keepNext/>
      <w:keepLines/>
      <w:ind w:firstLine="720"/>
      <w:outlineLvl w:val="3"/>
    </w:pPr>
    <w:rPr>
      <w:rFonts w:eastAsiaTheme="majorEastAsia" w:cstheme="majorBidi"/>
      <w:b/>
      <w:bCs/>
      <w:iCs/>
      <w:kern w:val="2"/>
      <w:szCs w:val="24"/>
      <w14:ligatures w14:val="standardContextual"/>
    </w:rPr>
  </w:style>
  <w:style w:type="paragraph" w:styleId="Heading5">
    <w:name w:val="heading 5"/>
    <w:basedOn w:val="Normal"/>
    <w:next w:val="Normal"/>
    <w:link w:val="Heading5Char"/>
    <w:uiPriority w:val="9"/>
    <w:semiHidden/>
    <w:unhideWhenUsed/>
    <w:qFormat/>
    <w:rsid w:val="002F7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C56"/>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C56"/>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C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C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1"/>
    <w:qFormat/>
    <w:rsid w:val="00FD5A9A"/>
    <w:rPr>
      <w:rFonts w:ascii="Avenir Next LT Pro" w:hAnsi="Avenir Next LT Pro"/>
      <w:b w:val="0"/>
      <w:i/>
      <w:iCs/>
      <w:color w:val="80340D" w:themeColor="accent2" w:themeShade="80"/>
      <w:sz w:val="20"/>
    </w:rPr>
  </w:style>
  <w:style w:type="character" w:customStyle="1" w:styleId="Heading3Char">
    <w:name w:val="Heading 3 Char"/>
    <w:basedOn w:val="DefaultParagraphFont"/>
    <w:link w:val="Heading3"/>
    <w:uiPriority w:val="9"/>
    <w:rsid w:val="00D938B0"/>
    <w:rPr>
      <w:rFonts w:eastAsiaTheme="majorEastAsia" w:cstheme="majorBidi"/>
      <w:b/>
      <w:bCs/>
      <w:i/>
      <w:color w:val="80340D" w:themeColor="accent2" w:themeShade="80"/>
      <w:sz w:val="20"/>
    </w:rPr>
  </w:style>
  <w:style w:type="paragraph" w:customStyle="1" w:styleId="References">
    <w:name w:val="References"/>
    <w:basedOn w:val="Normal"/>
    <w:autoRedefine/>
    <w:qFormat/>
    <w:rsid w:val="00045B39"/>
    <w:pPr>
      <w:ind w:left="720" w:hanging="720"/>
    </w:pPr>
    <w:rPr>
      <w:b/>
    </w:rPr>
  </w:style>
  <w:style w:type="character" w:customStyle="1" w:styleId="Heading1Char">
    <w:name w:val="Heading 1 Char"/>
    <w:basedOn w:val="DefaultParagraphFont"/>
    <w:link w:val="Heading1"/>
    <w:uiPriority w:val="9"/>
    <w:rsid w:val="00A56578"/>
    <w:rPr>
      <w:rFonts w:asciiTheme="majorHAnsi" w:eastAsiaTheme="majorEastAsia" w:hAnsiTheme="majorHAnsi" w:cstheme="majorBidi"/>
      <w:color w:val="215E99" w:themeColor="text2" w:themeTint="BF"/>
      <w:sz w:val="28"/>
      <w:szCs w:val="28"/>
    </w:rPr>
  </w:style>
  <w:style w:type="character" w:customStyle="1" w:styleId="Heading2Char">
    <w:name w:val="Heading 2 Char"/>
    <w:basedOn w:val="DefaultParagraphFont"/>
    <w:link w:val="Heading2"/>
    <w:uiPriority w:val="9"/>
    <w:rsid w:val="00E47B72"/>
    <w:rPr>
      <w:rFonts w:asciiTheme="majorHAnsi" w:eastAsiaTheme="majorEastAsia" w:hAnsiTheme="majorHAnsi" w:cstheme="majorBidi"/>
      <w:color w:val="0B769F" w:themeColor="accent4" w:themeShade="BF"/>
      <w:szCs w:val="26"/>
    </w:rPr>
  </w:style>
  <w:style w:type="character" w:customStyle="1" w:styleId="Heading4Char">
    <w:name w:val="Heading 4 Char"/>
    <w:basedOn w:val="DefaultParagraphFont"/>
    <w:link w:val="Heading4"/>
    <w:uiPriority w:val="9"/>
    <w:semiHidden/>
    <w:rsid w:val="00045B39"/>
    <w:rPr>
      <w:rFonts w:ascii="Times New Roman" w:eastAsiaTheme="majorEastAsia" w:hAnsi="Times New Roman" w:cstheme="majorBidi"/>
      <w:b/>
      <w:bCs/>
      <w:iCs/>
    </w:rPr>
  </w:style>
  <w:style w:type="character" w:customStyle="1" w:styleId="Heading5Char">
    <w:name w:val="Heading 5 Char"/>
    <w:basedOn w:val="DefaultParagraphFont"/>
    <w:link w:val="Heading5"/>
    <w:uiPriority w:val="9"/>
    <w:semiHidden/>
    <w:rsid w:val="002F7C56"/>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2F7C56"/>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2F7C56"/>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2F7C56"/>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2F7C56"/>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1B0FAE"/>
    <w:pPr>
      <w:spacing w:after="80" w:line="240" w:lineRule="auto"/>
      <w:contextualSpacing/>
    </w:pPr>
    <w:rPr>
      <w:rFonts w:asciiTheme="majorHAnsi" w:eastAsiaTheme="majorEastAsia" w:hAnsiTheme="majorHAnsi" w:cstheme="majorBidi"/>
      <w:color w:val="156082" w:themeColor="accent1"/>
      <w:spacing w:val="-10"/>
      <w:kern w:val="28"/>
      <w:sz w:val="36"/>
      <w:szCs w:val="56"/>
    </w:rPr>
  </w:style>
  <w:style w:type="character" w:customStyle="1" w:styleId="TitleChar">
    <w:name w:val="Title Char"/>
    <w:basedOn w:val="DefaultParagraphFont"/>
    <w:link w:val="Title"/>
    <w:uiPriority w:val="10"/>
    <w:rsid w:val="001B0FAE"/>
    <w:rPr>
      <w:rFonts w:asciiTheme="majorHAnsi" w:eastAsiaTheme="majorEastAsia" w:hAnsiTheme="majorHAnsi" w:cstheme="majorBidi"/>
      <w:color w:val="156082" w:themeColor="accent1"/>
      <w:spacing w:val="-10"/>
      <w:kern w:val="28"/>
      <w:sz w:val="36"/>
      <w:szCs w:val="56"/>
      <w14:ligatures w14:val="none"/>
    </w:rPr>
  </w:style>
  <w:style w:type="paragraph" w:styleId="Subtitle">
    <w:name w:val="Subtitle"/>
    <w:basedOn w:val="Normal"/>
    <w:next w:val="Normal"/>
    <w:link w:val="SubtitleChar"/>
    <w:uiPriority w:val="11"/>
    <w:qFormat/>
    <w:rsid w:val="002F7C5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C5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F7C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7C56"/>
    <w:rPr>
      <w:rFonts w:ascii="Times New Roman" w:eastAsiaTheme="minorEastAsia" w:hAnsi="Times New Roman"/>
      <w:i/>
      <w:iCs/>
      <w:color w:val="404040" w:themeColor="text1" w:themeTint="BF"/>
      <w:kern w:val="0"/>
      <w:szCs w:val="22"/>
      <w14:ligatures w14:val="none"/>
    </w:rPr>
  </w:style>
  <w:style w:type="paragraph" w:styleId="ListParagraph">
    <w:name w:val="List Paragraph"/>
    <w:basedOn w:val="Normal"/>
    <w:uiPriority w:val="34"/>
    <w:qFormat/>
    <w:rsid w:val="002F7C56"/>
    <w:pPr>
      <w:ind w:left="720"/>
      <w:contextualSpacing/>
    </w:pPr>
  </w:style>
  <w:style w:type="paragraph" w:styleId="IntenseQuote">
    <w:name w:val="Intense Quote"/>
    <w:basedOn w:val="Normal"/>
    <w:next w:val="Normal"/>
    <w:link w:val="IntenseQuoteChar"/>
    <w:uiPriority w:val="30"/>
    <w:qFormat/>
    <w:rsid w:val="002F7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C56"/>
    <w:rPr>
      <w:rFonts w:ascii="Times New Roman" w:eastAsiaTheme="minorEastAsia" w:hAnsi="Times New Roman"/>
      <w:i/>
      <w:iCs/>
      <w:color w:val="0F4761" w:themeColor="accent1" w:themeShade="BF"/>
      <w:kern w:val="0"/>
      <w:szCs w:val="22"/>
      <w14:ligatures w14:val="none"/>
    </w:rPr>
  </w:style>
  <w:style w:type="character" w:styleId="IntenseReference">
    <w:name w:val="Intense Reference"/>
    <w:basedOn w:val="DefaultParagraphFont"/>
    <w:uiPriority w:val="32"/>
    <w:qFormat/>
    <w:rsid w:val="002F7C56"/>
    <w:rPr>
      <w:b/>
      <w:bCs/>
      <w:smallCaps/>
      <w:color w:val="0F4761" w:themeColor="accent1" w:themeShade="BF"/>
      <w:spacing w:val="5"/>
    </w:rPr>
  </w:style>
  <w:style w:type="character" w:styleId="SubtleEmphasis">
    <w:name w:val="Subtle Emphasis"/>
    <w:basedOn w:val="DefaultParagraphFont"/>
    <w:uiPriority w:val="19"/>
    <w:qFormat/>
    <w:rsid w:val="00A1475C"/>
    <w:rPr>
      <w:rFonts w:asciiTheme="minorHAnsi" w:hAnsiTheme="minorHAnsi"/>
      <w:i/>
      <w:iCs/>
      <w:color w:val="595959" w:themeColor="text1" w:themeTint="A6"/>
      <w:sz w:val="22"/>
    </w:rPr>
  </w:style>
  <w:style w:type="paragraph" w:styleId="Header">
    <w:name w:val="header"/>
    <w:basedOn w:val="Normal"/>
    <w:link w:val="HeaderChar"/>
    <w:uiPriority w:val="99"/>
    <w:unhideWhenUsed/>
    <w:rsid w:val="00FC64BE"/>
    <w:pPr>
      <w:tabs>
        <w:tab w:val="center" w:pos="4680"/>
        <w:tab w:val="right" w:pos="9360"/>
      </w:tabs>
      <w:spacing w:before="0" w:line="240" w:lineRule="auto"/>
    </w:pPr>
  </w:style>
  <w:style w:type="character" w:customStyle="1" w:styleId="HeaderChar">
    <w:name w:val="Header Char"/>
    <w:basedOn w:val="DefaultParagraphFont"/>
    <w:link w:val="Header"/>
    <w:uiPriority w:val="99"/>
    <w:rsid w:val="00FC64BE"/>
    <w:rPr>
      <w:rFonts w:eastAsiaTheme="minorEastAsia"/>
      <w:kern w:val="0"/>
      <w:sz w:val="22"/>
      <w:szCs w:val="22"/>
      <w14:ligatures w14:val="none"/>
    </w:rPr>
  </w:style>
  <w:style w:type="paragraph" w:styleId="Footer">
    <w:name w:val="footer"/>
    <w:basedOn w:val="Normal"/>
    <w:link w:val="FooterChar"/>
    <w:uiPriority w:val="99"/>
    <w:unhideWhenUsed/>
    <w:rsid w:val="00FC64BE"/>
    <w:pPr>
      <w:tabs>
        <w:tab w:val="center" w:pos="4680"/>
        <w:tab w:val="right" w:pos="9360"/>
      </w:tabs>
      <w:spacing w:before="0" w:line="240" w:lineRule="auto"/>
    </w:pPr>
  </w:style>
  <w:style w:type="character" w:customStyle="1" w:styleId="FooterChar">
    <w:name w:val="Footer Char"/>
    <w:basedOn w:val="DefaultParagraphFont"/>
    <w:link w:val="Footer"/>
    <w:uiPriority w:val="99"/>
    <w:rsid w:val="00FC64BE"/>
    <w:rPr>
      <w:rFonts w:eastAsiaTheme="minorEastAsia"/>
      <w:kern w:val="0"/>
      <w:sz w:val="22"/>
      <w:szCs w:val="22"/>
      <w14:ligatures w14:val="none"/>
    </w:rPr>
  </w:style>
  <w:style w:type="paragraph" w:styleId="NoSpacing">
    <w:name w:val="No Spacing"/>
    <w:link w:val="NoSpacingChar"/>
    <w:uiPriority w:val="1"/>
    <w:qFormat/>
    <w:rsid w:val="0074501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4501B"/>
    <w:rPr>
      <w:rFonts w:eastAsiaTheme="minorEastAsia"/>
      <w:kern w:val="0"/>
      <w:sz w:val="22"/>
      <w:szCs w:val="22"/>
      <w14:ligatures w14:val="none"/>
    </w:rPr>
  </w:style>
  <w:style w:type="character" w:styleId="Emphasis">
    <w:name w:val="Emphasis"/>
    <w:basedOn w:val="DefaultParagraphFont"/>
    <w:uiPriority w:val="20"/>
    <w:qFormat/>
    <w:rsid w:val="005D5A6A"/>
    <w:rPr>
      <w:b/>
      <w:i/>
      <w:iCs/>
      <w:color w:val="0A2F41" w:themeColor="accent1" w:themeShade="80"/>
    </w:rPr>
  </w:style>
  <w:style w:type="table" w:styleId="GridTable1Light">
    <w:name w:val="Grid Table 1 Light"/>
    <w:basedOn w:val="TableNormal"/>
    <w:uiPriority w:val="46"/>
    <w:rsid w:val="00D6277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225D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msonormal0">
    <w:name w:val="msonormal"/>
    <w:basedOn w:val="Normal"/>
    <w:rsid w:val="00C9658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965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6584"/>
    <w:rPr>
      <w:b/>
      <w:bCs/>
    </w:rPr>
  </w:style>
  <w:style w:type="paragraph" w:styleId="HTMLPreformatted">
    <w:name w:val="HTML Preformatted"/>
    <w:basedOn w:val="Normal"/>
    <w:link w:val="HTMLPreformattedChar"/>
    <w:uiPriority w:val="99"/>
    <w:semiHidden/>
    <w:unhideWhenUsed/>
    <w:rsid w:val="00C965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C9658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96584"/>
    <w:rPr>
      <w:rFonts w:ascii="Courier New" w:eastAsia="Times New Roman" w:hAnsi="Courier New" w:cs="Courier New"/>
      <w:sz w:val="20"/>
      <w:szCs w:val="20"/>
    </w:rPr>
  </w:style>
  <w:style w:type="table" w:styleId="GridTable1Light-Accent4">
    <w:name w:val="Grid Table 1 Light Accent 4"/>
    <w:basedOn w:val="TableNormal"/>
    <w:uiPriority w:val="46"/>
    <w:rsid w:val="0066110A"/>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72EFB"/>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3369</Words>
  <Characters>19208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Syam Adusumilli</dc:creator>
  <cp:keywords/>
  <cp:lastModifiedBy>Syam Adusumilli</cp:lastModifiedBy>
  <cp:revision>2</cp:revision>
  <dcterms:created xsi:type="dcterms:W3CDTF">2026-02-05T13:30:00Z</dcterms:created>
  <dcterms:modified xsi:type="dcterms:W3CDTF">2026-02-05T13:30:00Z</dcterms:modified>
</cp:coreProperties>
</file>