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4F7A9" w14:textId="77777777" w:rsidR="00046092" w:rsidRPr="00FE286D" w:rsidRDefault="00FE286D">
      <w:pPr>
        <w:pStyle w:val="Title"/>
        <w:rPr>
          <w:sz w:val="24"/>
          <w:szCs w:val="44"/>
        </w:rPr>
      </w:pPr>
      <w:r w:rsidRPr="00FE286D">
        <w:rPr>
          <w:sz w:val="24"/>
          <w:szCs w:val="44"/>
        </w:rPr>
        <w:t>RHTP 11.Synthesis</w:t>
      </w:r>
    </w:p>
    <w:p w14:paraId="7DDDFF15" w14:textId="77777777" w:rsidR="00046092" w:rsidRDefault="00FE286D">
      <w:pPr>
        <w:pStyle w:val="Title"/>
      </w:pPr>
      <w:r>
        <w:t>Does Transformation Planning Match Clinical Reality?</w:t>
      </w:r>
    </w:p>
    <w:p w14:paraId="488FD006" w14:textId="77777777" w:rsidR="00046092" w:rsidRDefault="00FE286D">
      <w:pPr>
        <w:pStyle w:val="Subtitle"/>
      </w:pPr>
      <w:r>
        <w:t>Investment Priority vs. Epidemiological Need</w:t>
      </w:r>
    </w:p>
    <w:p w14:paraId="502C58B6" w14:textId="77777777" w:rsidR="00046092" w:rsidRDefault="00FE286D">
      <w:r>
        <w:t xml:space="preserve">The state RHTP coordinator reviews the five-year transformation plan her team developed. The plan allocates millions to telehealth infrastructure, workforce recruitment bonuses, and care coordination platforms. She compares it to the state’s disease burden data: </w:t>
      </w:r>
      <w:r>
        <w:rPr>
          <w:rStyle w:val="Emphasis"/>
        </w:rPr>
        <w:t>suicide rates climbing faster than any other cause of death</w:t>
      </w:r>
      <w:r>
        <w:t>, diabetes prevalence at 16% in rural counties, infant mortality in the Delta region exceeding the national average by 50%.</w:t>
      </w:r>
    </w:p>
    <w:p w14:paraId="5054127C" w14:textId="77777777" w:rsidR="00046092" w:rsidRDefault="00FE286D">
      <w:r>
        <w:t>The plan mentions mental health. It does not mention suicide. The plan addresses chronic disease management. It does not address diabetes prevention. The plan includes maternal health language. It does not acknowledge that half the state’s rural counties lack obstetric services. The plan references oral health exactly once, in a paragraph about workforce shortages, despite tooth loss rates in eastern counties approaching 40%.</w:t>
      </w:r>
    </w:p>
    <w:p w14:paraId="44560D1E" w14:textId="77777777" w:rsidR="00046092" w:rsidRDefault="00FE286D">
      <w:r>
        <w:t xml:space="preserve">She pulls up the federal guidance again. CMS required transformation plans to address behavioral health integration, maternal health, chronic disease, and workforce. CMS did not require plans to address the leading causes of death in the state’s rural counties. </w:t>
      </w:r>
      <w:r>
        <w:rPr>
          <w:rStyle w:val="Emphasis"/>
        </w:rPr>
        <w:t>The plan responds to what funders expected to see, not to what the mortality data demands.</w:t>
      </w:r>
    </w:p>
    <w:p w14:paraId="34420B38" w14:textId="77777777" w:rsidR="00046092" w:rsidRDefault="00FE286D">
      <w:r>
        <w:t>She asks herself the question this synthesis addresses: did we plan for transformation, or did we plan for approval?</w:t>
      </w:r>
    </w:p>
    <w:p w14:paraId="64B53C95" w14:textId="77777777" w:rsidR="00046092" w:rsidRDefault="00FE286D">
      <w:pPr>
        <w:pStyle w:val="Heading1"/>
      </w:pPr>
      <w:bookmarkStart w:id="0" w:name="what-clinical-reality-reveals"/>
      <w:r>
        <w:t>What Clinical Reality Reveals</w:t>
      </w:r>
    </w:p>
    <w:p w14:paraId="17E206C9" w14:textId="77777777" w:rsidR="00046092" w:rsidRDefault="00FE286D">
      <w:r>
        <w:t>Series 11 documented what rural Americans suffer and die from. The findings establish a clinical burden that transformation planning should address.</w:t>
      </w:r>
    </w:p>
    <w:p w14:paraId="552AFAA6" w14:textId="77777777" w:rsidR="00046092" w:rsidRDefault="00FE286D">
      <w:r>
        <w:rPr>
          <w:rStyle w:val="Emphasis"/>
        </w:rPr>
        <w:t>Mortality excess concentrates in treatable conditions.</w:t>
      </w:r>
      <w:r>
        <w:t xml:space="preserve"> Article 11A established that age-adjusted rural mortality exceeds urban mortality by 20%, a gap that widened from 7% in 1999. The five leading causes, heart disease, cancer, unintentional injury, chronic lower respiratory disease, and stroke, account for approximately 80% of the rural-urban mortality gap. These are not mysterious conditions. Medicine knows how to treat them. </w:t>
      </w:r>
      <w:r>
        <w:rPr>
          <w:rStyle w:val="Emphasis"/>
        </w:rPr>
        <w:t>Rural excess mortality represents access failure, not medical ignorance.</w:t>
      </w:r>
    </w:p>
    <w:p w14:paraId="6CDEA3E5" w14:textId="77777777" w:rsidR="00046092" w:rsidRDefault="00FE286D">
      <w:r>
        <w:rPr>
          <w:rStyle w:val="Emphasis"/>
        </w:rPr>
        <w:t>Specialty gaps block modern medicine.</w:t>
      </w:r>
      <w:r>
        <w:t xml:space="preserve"> Article 11B documented that 46% of U.S. counties lack cardiologists, 54% lack oncologists, and over 60% lack psychiatrists. The mathematical problem is stark: specialists require patient volume that small populations cannot generate, yet the conditions specialists treat cause the majority of rural deaths. </w:t>
      </w:r>
      <w:r>
        <w:rPr>
          <w:rStyle w:val="Emphasis"/>
        </w:rPr>
        <w:t>Clinical necessity collides with economic impossibility</w:t>
      </w:r>
      <w:r>
        <w:t>, and no amount of transformation rhetoric resolves the collision.</w:t>
      </w:r>
    </w:p>
    <w:p w14:paraId="3442701E" w14:textId="77777777" w:rsidR="00046092" w:rsidRDefault="00FE286D">
      <w:r>
        <w:rPr>
          <w:rStyle w:val="Emphasis"/>
        </w:rPr>
        <w:t>Mental health crisis reflects structural devastation.</w:t>
      </w:r>
      <w:r>
        <w:t xml:space="preserve"> Article 11C documented rural suicide rates of 20.0 per 100,000, compared to 13.4 per 100,000 in urban areas, a 49% disparity that widened over two decades. Deaths of despair from suicide, overdose, and alcoholic liver disease concentrate in regions with declining manufacturing employment and eroding social capital. </w:t>
      </w:r>
      <w:r>
        <w:rPr>
          <w:rStyle w:val="Emphasis"/>
        </w:rPr>
        <w:t>Clinical intervention helps individuals but cannot reverse population trajectories driven by economic collapse.</w:t>
      </w:r>
    </w:p>
    <w:p w14:paraId="73D40656" w14:textId="77777777" w:rsidR="00046092" w:rsidRDefault="00FE286D">
      <w:r>
        <w:rPr>
          <w:rStyle w:val="Emphasis"/>
        </w:rPr>
        <w:t>Prevention has failed at population level.</w:t>
      </w:r>
      <w:r>
        <w:t xml:space="preserve"> Article 11D examined why rural America has higher chronic disease despite decades of prevention investment. Diabetes prevalence exceeds 16% in many rural counties. Obesity rates continue rising. Prevention programs demonstrate efficacy in controlled trials but fail to translate to population-level impact. </w:t>
      </w:r>
      <w:r>
        <w:rPr>
          <w:rStyle w:val="Emphasis"/>
        </w:rPr>
        <w:t>The structural conditions driving chronic disease, food environments, economic stress, limited alternatives, persist regardless of clinical programming.</w:t>
      </w:r>
    </w:p>
    <w:p w14:paraId="28041079" w14:textId="77777777" w:rsidR="00046092" w:rsidRDefault="00FE286D">
      <w:r>
        <w:rPr>
          <w:rStyle w:val="Emphasis"/>
        </w:rPr>
        <w:t>Maternal health faces geographic abandonment.</w:t>
      </w:r>
      <w:r>
        <w:t xml:space="preserve"> Article 11E documented that 56% of rural counties lack any hospital obstetric services. Over 1,100 counties qualify as maternity care deserts. Maternal mortality in </w:t>
      </w:r>
      <w:r>
        <w:lastRenderedPageBreak/>
        <w:t xml:space="preserve">the most rural counties is 60% higher than in metropolitan areas. </w:t>
      </w:r>
      <w:r>
        <w:rPr>
          <w:rStyle w:val="Emphasis"/>
        </w:rPr>
        <w:t>Rural obstetric closures reflect financial unsustainability that grant funding cannot reverse.</w:t>
      </w:r>
    </w:p>
    <w:p w14:paraId="3EF8B5EB" w14:textId="77777777" w:rsidR="00046092" w:rsidRDefault="00FE286D">
      <w:r>
        <w:rPr>
          <w:rStyle w:val="Emphasis"/>
        </w:rPr>
        <w:t>Oral health remains excluded entirely.</w:t>
      </w:r>
      <w:r>
        <w:t xml:space="preserve"> Article 11F documented that American healthcare treats mouths as separate from bodies. Approximately 66% of Dental Health Professional Shortage Areas are rural. Complete tooth loss rates in high-burden regions approach 40% among older adults. RHTP places limited direct emphasis on dental health despite oral disease being among the most prevalent chronic conditions. </w:t>
      </w:r>
      <w:r>
        <w:rPr>
          <w:rStyle w:val="Emphasis"/>
        </w:rPr>
        <w:t>The mouth is part of the body, but healthcare policy pretends otherwise.</w:t>
      </w:r>
    </w:p>
    <w:p w14:paraId="6667C88B" w14:textId="77777777" w:rsidR="00046092" w:rsidRDefault="00FE286D">
      <w:r>
        <w:t xml:space="preserve">Regional concentration amplifies these burdens. The Mississippi Delta, Appalachian coalfields, tribal areas, and Black Belt report the highest mortality across multiple clinical domains. These regions experience compounded disadvantage: excess heart disease mortality in Appalachia reaches 40% above national rates, Delta all-cause mortality exceeds 1,000 per 100,000, and tribal areas report mortality 50% above urban rates. </w:t>
      </w:r>
      <w:r>
        <w:rPr>
          <w:rStyle w:val="Emphasis"/>
        </w:rPr>
        <w:t>Clinical burden is not uniformly distributed; it concentrates in places with the least capacity to respond.</w:t>
      </w:r>
    </w:p>
    <w:p w14:paraId="368563F9" w14:textId="77777777" w:rsidR="00046092" w:rsidRDefault="00FE286D">
      <w:pPr>
        <w:pStyle w:val="Heading1"/>
      </w:pPr>
      <w:bookmarkStart w:id="1" w:name="what-transformation-plans-prioritize"/>
      <w:bookmarkEnd w:id="0"/>
      <w:r>
        <w:t>What Transformation Plans Prioritize</w:t>
      </w:r>
    </w:p>
    <w:p w14:paraId="36591B61" w14:textId="77777777" w:rsidR="00046092" w:rsidRDefault="00FE286D">
      <w:r>
        <w:t>State RHTP applications reveal what transformation funding will actually address. Review of state transformation plans shows consistent patterns in investment allocation.</w:t>
      </w:r>
    </w:p>
    <w:p w14:paraId="137C1C80" w14:textId="77777777" w:rsidR="00046092" w:rsidRDefault="00FE286D">
      <w:r>
        <w:rPr>
          <w:rStyle w:val="Emphasis"/>
        </w:rPr>
        <w:t>Behavioral health receives universal attention.</w:t>
      </w:r>
      <w:r>
        <w:t xml:space="preserve"> Every state application identifies behavioral health as a priority. Allocations range from $25 million to $55 million in priority states. Kentucky allocates $45-55 million to behavioral health. North Carolina commits $30 million in FY2026. California distributes behavioral health investment across telehealth rather than dedicated infrastructure. </w:t>
      </w:r>
      <w:r>
        <w:rPr>
          <w:rStyle w:val="Emphasis"/>
        </w:rPr>
        <w:t>The attention reflects genuine crisis, but the approaches vary in evidence alignment.</w:t>
      </w:r>
    </w:p>
    <w:p w14:paraId="1B5E2030" w14:textId="77777777" w:rsidR="00046092" w:rsidRDefault="00FE286D">
      <w:r>
        <w:rPr>
          <w:rStyle w:val="Emphasis"/>
        </w:rPr>
        <w:t>Telehealth dominates technology investment.</w:t>
      </w:r>
      <w:r>
        <w:t xml:space="preserve"> States invest heavily in telehealth infrastructure as a solution to specialty access gaps. Texas allocates $65-75 million to telehealth and AI. Arizona commits approximately $30 million annually. Wisconsin’s $205 million Rural Technology Transformation Fund centers technology as a workforce extender. </w:t>
      </w:r>
      <w:r>
        <w:rPr>
          <w:rStyle w:val="Emphasis"/>
        </w:rPr>
        <w:t>Telehealth extends reach but cannot create specialists who do not exist.</w:t>
      </w:r>
    </w:p>
    <w:p w14:paraId="05058212" w14:textId="77777777" w:rsidR="00046092" w:rsidRDefault="00FE286D">
      <w:r>
        <w:rPr>
          <w:rStyle w:val="Emphasis"/>
        </w:rPr>
        <w:t>Workforce receives strategic attention without solving the fundamental problem.</w:t>
      </w:r>
      <w:r>
        <w:t xml:space="preserve"> States propose loan repayment, training pipelines, and recruitment incentives. Pennsylvania emphasizes surgical obstetric fellowship for family medicine physicians. North Carolina commits $25 million to workforce development. </w:t>
      </w:r>
      <w:r>
        <w:rPr>
          <w:rStyle w:val="Emphasis"/>
        </w:rPr>
        <w:t>Yet state applications proposing psychiatrist recruitment as primary strategy will fail because labor markets will not deliver.</w:t>
      </w:r>
    </w:p>
    <w:p w14:paraId="3F5B9B98" w14:textId="77777777" w:rsidR="00046092" w:rsidRDefault="00FE286D">
      <w:r>
        <w:rPr>
          <w:rStyle w:val="Emphasis"/>
        </w:rPr>
        <w:t>Maternal health appears in rhetoric more than resources.</w:t>
      </w:r>
      <w:r>
        <w:t xml:space="preserve"> Kentucky commits $40-50 million. Tennessee’s perinatal initiative allocates $15-18 million. But most maternal health investment supports existing facilities rather than restoring closed obstetric services. </w:t>
      </w:r>
      <w:r>
        <w:rPr>
          <w:rStyle w:val="Emphasis"/>
        </w:rPr>
        <w:t>States acknowledge maternity care deserts without directly addressing the financial dynamics that created them.</w:t>
      </w:r>
    </w:p>
    <w:p w14:paraId="386CF2C2" w14:textId="77777777" w:rsidR="00046092" w:rsidRDefault="00FE286D">
      <w:r>
        <w:rPr>
          <w:rStyle w:val="Emphasis"/>
        </w:rPr>
        <w:t>Oral health receives minimal attention.</w:t>
      </w:r>
      <w:r>
        <w:t xml:space="preserve"> Kentucky allocates $25-35 million for dental, the highest among priority states. Most states embed oral health within broader workforce or access initiatives without dedicated funding streams. Arizona does not explicitly center oral health. California includes dental within chronic disease rather than as distinct priority. </w:t>
      </w:r>
      <w:r>
        <w:rPr>
          <w:rStyle w:val="Emphasis"/>
        </w:rPr>
        <w:t>The exclusion of oral health from medical health policy persists in transformation planning.</w:t>
      </w:r>
    </w:p>
    <w:p w14:paraId="46A9BC77" w14:textId="77777777" w:rsidR="00046092" w:rsidRDefault="00FE286D">
      <w:r>
        <w:rPr>
          <w:rStyle w:val="Emphasis"/>
        </w:rPr>
        <w:t>Chronic disease management receives consistent investment, but prevention does not.</w:t>
      </w:r>
      <w:r>
        <w:t xml:space="preserve"> States fund disease management programs, care coordination, and self-management support. Prevention programming receives subordinate attention. </w:t>
      </w:r>
      <w:r>
        <w:rPr>
          <w:rStyle w:val="Emphasis"/>
        </w:rPr>
        <w:t>The gap between prevention rhetoric and prevention investment mirrors the gap between prevention promise and prevention outcomes documented in Article 11D.</w:t>
      </w:r>
    </w:p>
    <w:p w14:paraId="78AFFFB6" w14:textId="77777777" w:rsidR="00046092" w:rsidRDefault="00FE286D">
      <w:pPr>
        <w:pStyle w:val="Heading1"/>
      </w:pPr>
      <w:bookmarkStart w:id="2" w:name="cross-domain-synthesis"/>
      <w:bookmarkEnd w:id="1"/>
      <w:r>
        <w:lastRenderedPageBreak/>
        <w:t>Cross-Domain Synthesis</w:t>
      </w:r>
    </w:p>
    <w:p w14:paraId="12F1EB32" w14:textId="77777777" w:rsidR="00046092" w:rsidRDefault="00FE286D">
      <w:r>
        <w:t>The following matrix compares clinical burden rank to transformation investment rank across clinical domains. Burden rank derives from mortality contribution and morbidity prevalence. Investment rank derives from analysis of state RHTP allocations and priority emphasis.</w:t>
      </w:r>
    </w:p>
    <w:tbl>
      <w:tblPr>
        <w:tblStyle w:val="GridTable1Light-Accent1"/>
        <w:tblW w:w="5000" w:type="pct"/>
        <w:tblLook w:val="0020" w:firstRow="1" w:lastRow="0" w:firstColumn="0" w:lastColumn="0" w:noHBand="0" w:noVBand="0"/>
      </w:tblPr>
      <w:tblGrid>
        <w:gridCol w:w="2053"/>
        <w:gridCol w:w="1063"/>
        <w:gridCol w:w="1402"/>
        <w:gridCol w:w="4832"/>
      </w:tblGrid>
      <w:tr w:rsidR="00046092" w14:paraId="0861B695" w14:textId="77777777" w:rsidTr="00FE286D">
        <w:trPr>
          <w:cnfStyle w:val="100000000000" w:firstRow="1" w:lastRow="0" w:firstColumn="0" w:lastColumn="0" w:oddVBand="0" w:evenVBand="0" w:oddHBand="0" w:evenHBand="0" w:firstRowFirstColumn="0" w:firstRowLastColumn="0" w:lastRowFirstColumn="0" w:lastRowLastColumn="0"/>
        </w:trPr>
        <w:tc>
          <w:tcPr>
            <w:tcW w:w="0" w:type="auto"/>
          </w:tcPr>
          <w:p w14:paraId="65D89D3A" w14:textId="77777777" w:rsidR="00046092" w:rsidRDefault="00FE286D">
            <w:r>
              <w:rPr>
                <w:rFonts w:ascii="Aptos" w:hAnsi="Aptos"/>
                <w:sz w:val="18"/>
                <w:szCs w:val="18"/>
              </w:rPr>
              <w:t>Clinical Domain</w:t>
            </w:r>
          </w:p>
        </w:tc>
        <w:tc>
          <w:tcPr>
            <w:tcW w:w="0" w:type="auto"/>
          </w:tcPr>
          <w:p w14:paraId="42149F86" w14:textId="77777777" w:rsidR="00046092" w:rsidRDefault="00FE286D">
            <w:r>
              <w:rPr>
                <w:rFonts w:ascii="Aptos" w:hAnsi="Aptos"/>
                <w:sz w:val="18"/>
                <w:szCs w:val="18"/>
              </w:rPr>
              <w:t>Burden Rank</w:t>
            </w:r>
          </w:p>
        </w:tc>
        <w:tc>
          <w:tcPr>
            <w:tcW w:w="0" w:type="auto"/>
          </w:tcPr>
          <w:p w14:paraId="2C38AF46" w14:textId="77777777" w:rsidR="00046092" w:rsidRDefault="00FE286D">
            <w:r>
              <w:rPr>
                <w:rFonts w:ascii="Aptos" w:hAnsi="Aptos"/>
                <w:sz w:val="18"/>
                <w:szCs w:val="18"/>
              </w:rPr>
              <w:t>Investment Rank</w:t>
            </w:r>
          </w:p>
        </w:tc>
        <w:tc>
          <w:tcPr>
            <w:tcW w:w="0" w:type="auto"/>
          </w:tcPr>
          <w:p w14:paraId="15A8D0DF" w14:textId="77777777" w:rsidR="00046092" w:rsidRDefault="00FE286D">
            <w:r>
              <w:rPr>
                <w:rFonts w:ascii="Aptos" w:hAnsi="Aptos"/>
                <w:sz w:val="18"/>
                <w:szCs w:val="18"/>
              </w:rPr>
              <w:t>Gap Assessment</w:t>
            </w:r>
          </w:p>
        </w:tc>
      </w:tr>
      <w:tr w:rsidR="00046092" w14:paraId="3D0884A0" w14:textId="77777777" w:rsidTr="00FE286D">
        <w:tc>
          <w:tcPr>
            <w:tcW w:w="0" w:type="auto"/>
          </w:tcPr>
          <w:p w14:paraId="27A6351E" w14:textId="77777777" w:rsidR="00046092" w:rsidRDefault="00FE286D">
            <w:r>
              <w:rPr>
                <w:rFonts w:ascii="Aptos" w:hAnsi="Aptos"/>
                <w:sz w:val="18"/>
                <w:szCs w:val="18"/>
              </w:rPr>
              <w:t>Heart disease and stroke</w:t>
            </w:r>
          </w:p>
        </w:tc>
        <w:tc>
          <w:tcPr>
            <w:tcW w:w="0" w:type="auto"/>
          </w:tcPr>
          <w:p w14:paraId="2E508236" w14:textId="77777777" w:rsidR="00046092" w:rsidRDefault="00FE286D">
            <w:r>
              <w:rPr>
                <w:rFonts w:ascii="Aptos" w:hAnsi="Aptos"/>
                <w:sz w:val="18"/>
                <w:szCs w:val="18"/>
              </w:rPr>
              <w:t>1</w:t>
            </w:r>
          </w:p>
        </w:tc>
        <w:tc>
          <w:tcPr>
            <w:tcW w:w="0" w:type="auto"/>
          </w:tcPr>
          <w:p w14:paraId="61A021F0" w14:textId="77777777" w:rsidR="00046092" w:rsidRDefault="00FE286D">
            <w:r>
              <w:rPr>
                <w:rFonts w:ascii="Aptos" w:hAnsi="Aptos"/>
                <w:sz w:val="18"/>
                <w:szCs w:val="18"/>
              </w:rPr>
              <w:t>4</w:t>
            </w:r>
          </w:p>
        </w:tc>
        <w:tc>
          <w:tcPr>
            <w:tcW w:w="0" w:type="auto"/>
          </w:tcPr>
          <w:p w14:paraId="5742E999" w14:textId="77777777" w:rsidR="00046092" w:rsidRDefault="00FE286D">
            <w:r>
              <w:rPr>
                <w:rStyle w:val="Emphasis"/>
                <w:rFonts w:ascii="Aptos" w:hAnsi="Aptos"/>
                <w:sz w:val="18"/>
                <w:szCs w:val="18"/>
              </w:rPr>
              <w:t>Major gap</w:t>
            </w:r>
            <w:r>
              <w:rPr>
                <w:rFonts w:ascii="Aptos" w:hAnsi="Aptos"/>
                <w:sz w:val="18"/>
                <w:szCs w:val="18"/>
              </w:rPr>
              <w:t>: Highest mortality cause receives indirect attention via chronic disease management</w:t>
            </w:r>
          </w:p>
        </w:tc>
      </w:tr>
      <w:tr w:rsidR="00046092" w14:paraId="04360FC6" w14:textId="77777777" w:rsidTr="00FE286D">
        <w:tc>
          <w:tcPr>
            <w:tcW w:w="0" w:type="auto"/>
          </w:tcPr>
          <w:p w14:paraId="0AD4B323" w14:textId="77777777" w:rsidR="00046092" w:rsidRDefault="00FE286D">
            <w:r>
              <w:rPr>
                <w:rFonts w:ascii="Aptos" w:hAnsi="Aptos"/>
                <w:sz w:val="18"/>
                <w:szCs w:val="18"/>
              </w:rPr>
              <w:t>Mental health and suicide</w:t>
            </w:r>
          </w:p>
        </w:tc>
        <w:tc>
          <w:tcPr>
            <w:tcW w:w="0" w:type="auto"/>
          </w:tcPr>
          <w:p w14:paraId="1CE9045B" w14:textId="77777777" w:rsidR="00046092" w:rsidRDefault="00FE286D">
            <w:r>
              <w:rPr>
                <w:rFonts w:ascii="Aptos" w:hAnsi="Aptos"/>
                <w:sz w:val="18"/>
                <w:szCs w:val="18"/>
              </w:rPr>
              <w:t>2</w:t>
            </w:r>
          </w:p>
        </w:tc>
        <w:tc>
          <w:tcPr>
            <w:tcW w:w="0" w:type="auto"/>
          </w:tcPr>
          <w:p w14:paraId="3258EB34" w14:textId="77777777" w:rsidR="00046092" w:rsidRDefault="00FE286D">
            <w:r>
              <w:rPr>
                <w:rFonts w:ascii="Aptos" w:hAnsi="Aptos"/>
                <w:sz w:val="18"/>
                <w:szCs w:val="18"/>
              </w:rPr>
              <w:t>1</w:t>
            </w:r>
          </w:p>
        </w:tc>
        <w:tc>
          <w:tcPr>
            <w:tcW w:w="0" w:type="auto"/>
          </w:tcPr>
          <w:p w14:paraId="1844030F" w14:textId="77777777" w:rsidR="00046092" w:rsidRDefault="00FE286D">
            <w:r>
              <w:rPr>
                <w:rStyle w:val="Emphasis"/>
                <w:rFonts w:ascii="Aptos" w:hAnsi="Aptos"/>
                <w:sz w:val="18"/>
                <w:szCs w:val="18"/>
              </w:rPr>
              <w:t>Aligned</w:t>
            </w:r>
            <w:r>
              <w:rPr>
                <w:rFonts w:ascii="Aptos" w:hAnsi="Aptos"/>
                <w:sz w:val="18"/>
                <w:szCs w:val="18"/>
              </w:rPr>
              <w:t>: Investment matches crisis severity, though approaches vary in evidence</w:t>
            </w:r>
          </w:p>
        </w:tc>
      </w:tr>
      <w:tr w:rsidR="00046092" w14:paraId="6DEB9431" w14:textId="77777777" w:rsidTr="00FE286D">
        <w:tc>
          <w:tcPr>
            <w:tcW w:w="0" w:type="auto"/>
          </w:tcPr>
          <w:p w14:paraId="2907D0AF" w14:textId="77777777" w:rsidR="00046092" w:rsidRDefault="00FE286D">
            <w:r>
              <w:rPr>
                <w:rFonts w:ascii="Aptos" w:hAnsi="Aptos"/>
                <w:sz w:val="18"/>
                <w:szCs w:val="18"/>
              </w:rPr>
              <w:t>Cancer</w:t>
            </w:r>
          </w:p>
        </w:tc>
        <w:tc>
          <w:tcPr>
            <w:tcW w:w="0" w:type="auto"/>
          </w:tcPr>
          <w:p w14:paraId="2BDD946E" w14:textId="77777777" w:rsidR="00046092" w:rsidRDefault="00FE286D">
            <w:r>
              <w:rPr>
                <w:rFonts w:ascii="Aptos" w:hAnsi="Aptos"/>
                <w:sz w:val="18"/>
                <w:szCs w:val="18"/>
              </w:rPr>
              <w:t>3</w:t>
            </w:r>
          </w:p>
        </w:tc>
        <w:tc>
          <w:tcPr>
            <w:tcW w:w="0" w:type="auto"/>
          </w:tcPr>
          <w:p w14:paraId="6E94050B" w14:textId="77777777" w:rsidR="00046092" w:rsidRDefault="00FE286D">
            <w:r>
              <w:rPr>
                <w:rFonts w:ascii="Aptos" w:hAnsi="Aptos"/>
                <w:sz w:val="18"/>
                <w:szCs w:val="18"/>
              </w:rPr>
              <w:t>5</w:t>
            </w:r>
          </w:p>
        </w:tc>
        <w:tc>
          <w:tcPr>
            <w:tcW w:w="0" w:type="auto"/>
          </w:tcPr>
          <w:p w14:paraId="3F9262F8" w14:textId="77777777" w:rsidR="00046092" w:rsidRDefault="00FE286D">
            <w:r>
              <w:rPr>
                <w:rStyle w:val="Emphasis"/>
                <w:rFonts w:ascii="Aptos" w:hAnsi="Aptos"/>
                <w:sz w:val="18"/>
                <w:szCs w:val="18"/>
              </w:rPr>
              <w:t>Major gap</w:t>
            </w:r>
            <w:r>
              <w:rPr>
                <w:rFonts w:ascii="Aptos" w:hAnsi="Aptos"/>
                <w:sz w:val="18"/>
                <w:szCs w:val="18"/>
              </w:rPr>
              <w:t>: Screening receives attention; treatment access unaddressed</w:t>
            </w:r>
          </w:p>
        </w:tc>
      </w:tr>
      <w:tr w:rsidR="00046092" w14:paraId="6DB5F19D" w14:textId="77777777" w:rsidTr="00FE286D">
        <w:tc>
          <w:tcPr>
            <w:tcW w:w="0" w:type="auto"/>
          </w:tcPr>
          <w:p w14:paraId="01A0FC50" w14:textId="77777777" w:rsidR="00046092" w:rsidRDefault="00FE286D">
            <w:r>
              <w:rPr>
                <w:rFonts w:ascii="Aptos" w:hAnsi="Aptos"/>
                <w:sz w:val="18"/>
                <w:szCs w:val="18"/>
              </w:rPr>
              <w:t>Chronic disease (diabetes, COPD)</w:t>
            </w:r>
          </w:p>
        </w:tc>
        <w:tc>
          <w:tcPr>
            <w:tcW w:w="0" w:type="auto"/>
          </w:tcPr>
          <w:p w14:paraId="17FC3ABE" w14:textId="77777777" w:rsidR="00046092" w:rsidRDefault="00FE286D">
            <w:r>
              <w:rPr>
                <w:rFonts w:ascii="Aptos" w:hAnsi="Aptos"/>
                <w:sz w:val="18"/>
                <w:szCs w:val="18"/>
              </w:rPr>
              <w:t>4</w:t>
            </w:r>
          </w:p>
        </w:tc>
        <w:tc>
          <w:tcPr>
            <w:tcW w:w="0" w:type="auto"/>
          </w:tcPr>
          <w:p w14:paraId="42664EE9" w14:textId="77777777" w:rsidR="00046092" w:rsidRDefault="00FE286D">
            <w:r>
              <w:rPr>
                <w:rFonts w:ascii="Aptos" w:hAnsi="Aptos"/>
                <w:sz w:val="18"/>
                <w:szCs w:val="18"/>
              </w:rPr>
              <w:t>2</w:t>
            </w:r>
          </w:p>
        </w:tc>
        <w:tc>
          <w:tcPr>
            <w:tcW w:w="0" w:type="auto"/>
          </w:tcPr>
          <w:p w14:paraId="69EE1559" w14:textId="77777777" w:rsidR="00046092" w:rsidRDefault="00FE286D">
            <w:r>
              <w:rPr>
                <w:rStyle w:val="Emphasis"/>
                <w:rFonts w:ascii="Aptos" w:hAnsi="Aptos"/>
                <w:sz w:val="18"/>
                <w:szCs w:val="18"/>
              </w:rPr>
              <w:t>Partially aligned</w:t>
            </w:r>
            <w:r>
              <w:rPr>
                <w:rFonts w:ascii="Aptos" w:hAnsi="Aptos"/>
                <w:sz w:val="18"/>
                <w:szCs w:val="18"/>
              </w:rPr>
              <w:t>: Management invested; prevention neglected</w:t>
            </w:r>
          </w:p>
        </w:tc>
      </w:tr>
      <w:tr w:rsidR="00046092" w14:paraId="32BCCF53" w14:textId="77777777" w:rsidTr="00FE286D">
        <w:tc>
          <w:tcPr>
            <w:tcW w:w="0" w:type="auto"/>
          </w:tcPr>
          <w:p w14:paraId="7802FEA8" w14:textId="77777777" w:rsidR="00046092" w:rsidRDefault="00FE286D">
            <w:r>
              <w:rPr>
                <w:rFonts w:ascii="Aptos" w:hAnsi="Aptos"/>
                <w:sz w:val="18"/>
                <w:szCs w:val="18"/>
              </w:rPr>
              <w:t>Maternal and child health</w:t>
            </w:r>
          </w:p>
        </w:tc>
        <w:tc>
          <w:tcPr>
            <w:tcW w:w="0" w:type="auto"/>
          </w:tcPr>
          <w:p w14:paraId="25F05F28" w14:textId="77777777" w:rsidR="00046092" w:rsidRDefault="00FE286D">
            <w:r>
              <w:rPr>
                <w:rFonts w:ascii="Aptos" w:hAnsi="Aptos"/>
                <w:sz w:val="18"/>
                <w:szCs w:val="18"/>
              </w:rPr>
              <w:t>5</w:t>
            </w:r>
          </w:p>
        </w:tc>
        <w:tc>
          <w:tcPr>
            <w:tcW w:w="0" w:type="auto"/>
          </w:tcPr>
          <w:p w14:paraId="117F3935" w14:textId="77777777" w:rsidR="00046092" w:rsidRDefault="00FE286D">
            <w:r>
              <w:rPr>
                <w:rFonts w:ascii="Aptos" w:hAnsi="Aptos"/>
                <w:sz w:val="18"/>
                <w:szCs w:val="18"/>
              </w:rPr>
              <w:t>3</w:t>
            </w:r>
          </w:p>
        </w:tc>
        <w:tc>
          <w:tcPr>
            <w:tcW w:w="0" w:type="auto"/>
          </w:tcPr>
          <w:p w14:paraId="58C25828" w14:textId="77777777" w:rsidR="00046092" w:rsidRDefault="00FE286D">
            <w:r>
              <w:rPr>
                <w:rStyle w:val="Emphasis"/>
                <w:rFonts w:ascii="Aptos" w:hAnsi="Aptos"/>
                <w:sz w:val="18"/>
                <w:szCs w:val="18"/>
              </w:rPr>
              <w:t>Partially aligned</w:t>
            </w:r>
            <w:r>
              <w:rPr>
                <w:rFonts w:ascii="Aptos" w:hAnsi="Aptos"/>
                <w:sz w:val="18"/>
                <w:szCs w:val="18"/>
              </w:rPr>
              <w:t>: Attention exceeds burden rank, but solutions do not match problem</w:t>
            </w:r>
          </w:p>
        </w:tc>
      </w:tr>
      <w:tr w:rsidR="00046092" w14:paraId="4928F843" w14:textId="77777777" w:rsidTr="00FE286D">
        <w:tc>
          <w:tcPr>
            <w:tcW w:w="0" w:type="auto"/>
          </w:tcPr>
          <w:p w14:paraId="106A5FFF" w14:textId="77777777" w:rsidR="00046092" w:rsidRDefault="00FE286D">
            <w:r>
              <w:rPr>
                <w:rFonts w:ascii="Aptos" w:hAnsi="Aptos"/>
                <w:sz w:val="18"/>
                <w:szCs w:val="18"/>
              </w:rPr>
              <w:t>Oral health</w:t>
            </w:r>
          </w:p>
        </w:tc>
        <w:tc>
          <w:tcPr>
            <w:tcW w:w="0" w:type="auto"/>
          </w:tcPr>
          <w:p w14:paraId="5BF17FFE" w14:textId="77777777" w:rsidR="00046092" w:rsidRDefault="00FE286D">
            <w:r>
              <w:rPr>
                <w:rFonts w:ascii="Aptos" w:hAnsi="Aptos"/>
                <w:sz w:val="18"/>
                <w:szCs w:val="18"/>
              </w:rPr>
              <w:t>6</w:t>
            </w:r>
          </w:p>
        </w:tc>
        <w:tc>
          <w:tcPr>
            <w:tcW w:w="0" w:type="auto"/>
          </w:tcPr>
          <w:p w14:paraId="5AC8229E" w14:textId="77777777" w:rsidR="00046092" w:rsidRDefault="00FE286D">
            <w:r>
              <w:rPr>
                <w:rFonts w:ascii="Aptos" w:hAnsi="Aptos"/>
                <w:sz w:val="18"/>
                <w:szCs w:val="18"/>
              </w:rPr>
              <w:t>6</w:t>
            </w:r>
          </w:p>
        </w:tc>
        <w:tc>
          <w:tcPr>
            <w:tcW w:w="0" w:type="auto"/>
          </w:tcPr>
          <w:p w14:paraId="4AE4DE17" w14:textId="77777777" w:rsidR="00046092" w:rsidRDefault="00FE286D">
            <w:r>
              <w:rPr>
                <w:rStyle w:val="Emphasis"/>
                <w:rFonts w:ascii="Aptos" w:hAnsi="Aptos"/>
                <w:sz w:val="18"/>
                <w:szCs w:val="18"/>
              </w:rPr>
              <w:t>Aligned at bottom</w:t>
            </w:r>
            <w:r>
              <w:rPr>
                <w:rFonts w:ascii="Aptos" w:hAnsi="Aptos"/>
                <w:sz w:val="18"/>
                <w:szCs w:val="18"/>
              </w:rPr>
              <w:t>: Both lowest burden rank and lowest investment reflect systemic exclusion</w:t>
            </w:r>
          </w:p>
        </w:tc>
      </w:tr>
    </w:tbl>
    <w:p w14:paraId="43C90F5C" w14:textId="77777777" w:rsidR="00046092" w:rsidRDefault="00FE286D">
      <w:r>
        <w:t>The matrix reveals three patterns:</w:t>
      </w:r>
    </w:p>
    <w:p w14:paraId="135F2147" w14:textId="77777777" w:rsidR="00046092" w:rsidRDefault="00FE286D">
      <w:r>
        <w:rPr>
          <w:rStyle w:val="Emphasis"/>
        </w:rPr>
        <w:t>First, mental health investment aligns with mental health burden.</w:t>
      </w:r>
      <w:r>
        <w:t xml:space="preserve"> States correctly identify behavioral health crisis as urgent and allocate accordingly. The question is whether clinical intervention can address structural drivers of despair, not whether investment priority is appropriate.</w:t>
      </w:r>
    </w:p>
    <w:p w14:paraId="438C6700" w14:textId="77777777" w:rsidR="00046092" w:rsidRDefault="00FE286D">
      <w:r>
        <w:rPr>
          <w:rStyle w:val="Emphasis"/>
        </w:rPr>
        <w:t>Second, cardiovascular mortality receives inadequate direct attention.</w:t>
      </w:r>
      <w:r>
        <w:t xml:space="preserve"> Heart disease causes more rural excess deaths than any other condition. Transformation plans address chronic disease management, which includes cardiac care, but do not prioritize cardiology access, acute cardiac intervention, or cardiovascular prevention with intensity matching burden.</w:t>
      </w:r>
    </w:p>
    <w:p w14:paraId="7C584C67" w14:textId="77777777" w:rsidR="00046092" w:rsidRDefault="00FE286D">
      <w:r>
        <w:rPr>
          <w:rStyle w:val="Emphasis"/>
        </w:rPr>
        <w:t>Third, oral health exclusion persists.</w:t>
      </w:r>
      <w:r>
        <w:t xml:space="preserve"> The policy decision to separate mouths from bodies continues in transformation planning. States do not challenge the separation; they reproduce it.</w:t>
      </w:r>
    </w:p>
    <w:p w14:paraId="627810B7" w14:textId="77777777" w:rsidR="00046092" w:rsidRDefault="00FE286D">
      <w:pPr>
        <w:pStyle w:val="Heading1"/>
      </w:pPr>
      <w:bookmarkStart w:id="3" w:name="explaining-the-mismatch"/>
      <w:bookmarkEnd w:id="2"/>
      <w:r>
        <w:t>Explaining the Mismatch</w:t>
      </w:r>
    </w:p>
    <w:p w14:paraId="33261BB7" w14:textId="77777777" w:rsidR="00046092" w:rsidRDefault="00FE286D">
      <w:r>
        <w:t>Why does transformation investment diverge from clinical burden? Several mechanisms explain the gap.</w:t>
      </w:r>
    </w:p>
    <w:p w14:paraId="58021026" w14:textId="77777777" w:rsidR="00046092" w:rsidRDefault="00FE286D">
      <w:r>
        <w:rPr>
          <w:rStyle w:val="Emphasis"/>
        </w:rPr>
        <w:t>Political visibility shapes attention.</w:t>
      </w:r>
      <w:r>
        <w:t xml:space="preserve"> Maternal health has received national attention through campaigns against maternal mortality. Behavioral health achieved political salience through opioid crisis coverage. Heart disease, despite causing more deaths, lacks equivalent political momentum. </w:t>
      </w:r>
      <w:r>
        <w:rPr>
          <w:rStyle w:val="Emphasis"/>
        </w:rPr>
        <w:t>Conditions that attract advocacy attract investment; conditions without organized constituencies receive less.</w:t>
      </w:r>
    </w:p>
    <w:p w14:paraId="62326562" w14:textId="77777777" w:rsidR="00046092" w:rsidRDefault="00FE286D">
      <w:r>
        <w:rPr>
          <w:rStyle w:val="Emphasis"/>
        </w:rPr>
        <w:t>Intervention availability constrains investment.</w:t>
      </w:r>
      <w:r>
        <w:t xml:space="preserve"> States invest in what they can implement. Telehealth platforms can be purchased. Workforce recruitment programs can be launched. But no intervention restores closed obstetric units when the economics cannot support them. No intervention creates specialists when training pipelines cannot produce them. </w:t>
      </w:r>
      <w:r>
        <w:rPr>
          <w:rStyle w:val="Emphasis"/>
        </w:rPr>
        <w:t>States fund what is possible rather than what is needed.</w:t>
      </w:r>
    </w:p>
    <w:p w14:paraId="426849CD" w14:textId="77777777" w:rsidR="00046092" w:rsidRDefault="00FE286D">
      <w:r>
        <w:rPr>
          <w:rStyle w:val="Emphasis"/>
        </w:rPr>
        <w:t>Measurement feasibility determines metrics.</w:t>
      </w:r>
      <w:r>
        <w:t xml:space="preserve"> RHTP requires performance accountability. States select metrics they can track: telehealth encounters, providers recruited, screenings completed. Metrics that require decades to move, population mortality rates and chronic disease prevalence, do not fit five-year grant timelines. </w:t>
      </w:r>
      <w:r>
        <w:rPr>
          <w:rStyle w:val="Emphasis"/>
        </w:rPr>
        <w:t>Investment follows measurement, not burden.</w:t>
      </w:r>
    </w:p>
    <w:p w14:paraId="35E41836" w14:textId="77777777" w:rsidR="00046092" w:rsidRDefault="00FE286D">
      <w:r>
        <w:rPr>
          <w:rStyle w:val="Emphasis"/>
        </w:rPr>
        <w:t>Institutional interests influence allocation.</w:t>
      </w:r>
      <w:r>
        <w:t xml:space="preserve"> Hospitals advocate for hospital stabilization. Professional associations advocate for workforce investment in their disciplines. Technology vendors advocate for technology adoption. </w:t>
      </w:r>
      <w:r>
        <w:rPr>
          <w:rStyle w:val="Emphasis"/>
        </w:rPr>
        <w:t xml:space="preserve">The stakeholder engagement process that shapes transformation plans reflects </w:t>
      </w:r>
      <w:r>
        <w:rPr>
          <w:rStyle w:val="Emphasis"/>
        </w:rPr>
        <w:lastRenderedPageBreak/>
        <w:t>existing power rather than clinical need.</w:t>
      </w:r>
      <w:r>
        <w:t xml:space="preserve"> Communities with high mortality but weak institutional voice may receive less than their burden warrants.</w:t>
      </w:r>
    </w:p>
    <w:p w14:paraId="0A81A830" w14:textId="77777777" w:rsidR="00046092" w:rsidRDefault="00FE286D">
      <w:r>
        <w:rPr>
          <w:rStyle w:val="Emphasis"/>
        </w:rPr>
        <w:t>Federal guidance frames expectations.</w:t>
      </w:r>
      <w:r>
        <w:t xml:space="preserve"> CMS required attention to specific domains: behavioral health integration, maternal health, chronic disease. States responded to requirements. </w:t>
      </w:r>
      <w:r>
        <w:rPr>
          <w:rStyle w:val="Emphasis"/>
        </w:rPr>
        <w:t>Federal priorities shaped state priorities, regardless of whether federal priorities matched local burden patterns.</w:t>
      </w:r>
    </w:p>
    <w:p w14:paraId="2B1DE160" w14:textId="77777777" w:rsidR="00046092" w:rsidRDefault="00FE286D">
      <w:pPr>
        <w:pStyle w:val="Heading1"/>
      </w:pPr>
      <w:bookmarkStart w:id="4" w:name="the-alternative-perspective"/>
      <w:bookmarkEnd w:id="3"/>
      <w:r>
        <w:t>The Alternative Perspective</w:t>
      </w:r>
    </w:p>
    <w:p w14:paraId="345BF299" w14:textId="77777777" w:rsidR="00046092" w:rsidRDefault="00FE286D">
      <w:r>
        <w:t>The mismatch analysis may understate strategic coherence. An alternative interpretation argues that transformation plans may be more clinically responsive than burden-matching analysis suggests.</w:t>
      </w:r>
    </w:p>
    <w:p w14:paraId="46769F70" w14:textId="77777777" w:rsidR="00046092" w:rsidRDefault="00FE286D">
      <w:r>
        <w:rPr>
          <w:rStyle w:val="Emphasis"/>
        </w:rPr>
        <w:t>Capacity building precedes condition-specific intervention.</w:t>
      </w:r>
      <w:r>
        <w:t xml:space="preserve"> States investing in telehealth infrastructure, workforce pipelines, and care coordination build capacity that eventually addresses high-burden conditions. A state cannot improve cardiac outcomes without providers to deliver cardiac care. Workforce investment may appear to neglect heart disease while actually creating the conditions for cardiac mortality reduction.</w:t>
      </w:r>
    </w:p>
    <w:p w14:paraId="4FCF6CF2" w14:textId="77777777" w:rsidR="00046092" w:rsidRDefault="00FE286D">
      <w:r>
        <w:rPr>
          <w:rStyle w:val="Emphasis"/>
        </w:rPr>
        <w:t>Prevention integration exceeds explicit prevention funding.</w:t>
      </w:r>
      <w:r>
        <w:t xml:space="preserve"> Chronic disease management inherently includes secondary prevention. Care coordination improves medication adherence for hypertension and diabetes. </w:t>
      </w:r>
      <w:r>
        <w:rPr>
          <w:rStyle w:val="Emphasis"/>
        </w:rPr>
        <w:t>Prevention may be embedded rather than absent, even if dedicated prevention funding appears limited.</w:t>
      </w:r>
    </w:p>
    <w:p w14:paraId="639350E9" w14:textId="77777777" w:rsidR="00046092" w:rsidRDefault="00FE286D">
      <w:r>
        <w:rPr>
          <w:rStyle w:val="Emphasis"/>
        </w:rPr>
        <w:t>Clinical burden data may not reflect intervention leverage.</w:t>
      </w:r>
      <w:r>
        <w:t xml:space="preserve"> Some conditions respond more to healthcare intervention than others. Mental health investment may produce larger outcome improvements per dollar than cardiovascular investment because treatment-responsive conditions remain undertreated. </w:t>
      </w:r>
      <w:r>
        <w:rPr>
          <w:rStyle w:val="Emphasis"/>
        </w:rPr>
        <w:t>States may be rationally prioritizing based on intervention effectiveness rather than burden magnitude.</w:t>
      </w:r>
    </w:p>
    <w:p w14:paraId="2593E20C" w14:textId="77777777" w:rsidR="00046092" w:rsidRDefault="00FE286D">
      <w:r>
        <w:t xml:space="preserve">This alternative perspective deserves consideration but does not fully resolve the mismatch. The five leading causes of mortality are all intervention-responsive. Amenable mortality data shows that rural excess deaths occur predominantly from conditions that healthcare can address. </w:t>
      </w:r>
      <w:r>
        <w:rPr>
          <w:rStyle w:val="Emphasis"/>
        </w:rPr>
        <w:t>If capacity building were driving allocation, one would expect investment intensity to track intervention leverage, which would prioritize the conditions causing most preventable deaths.</w:t>
      </w:r>
    </w:p>
    <w:p w14:paraId="3553B350" w14:textId="77777777" w:rsidR="00046092" w:rsidRDefault="00FE286D">
      <w:pPr>
        <w:pStyle w:val="Heading1"/>
      </w:pPr>
      <w:bookmarkStart w:id="5" w:name="what-evidence-supports"/>
      <w:bookmarkEnd w:id="4"/>
      <w:r>
        <w:t>What Evidence Supports</w:t>
      </w:r>
    </w:p>
    <w:p w14:paraId="6712CC71" w14:textId="77777777" w:rsidR="00046092" w:rsidRDefault="00FE286D">
      <w:r>
        <w:t>Some state approaches appear more clinically responsive than others. Evidence supports several principles for alignment.</w:t>
      </w:r>
    </w:p>
    <w:p w14:paraId="5739F6B9" w14:textId="77777777" w:rsidR="00046092" w:rsidRDefault="00FE286D">
      <w:r>
        <w:rPr>
          <w:rStyle w:val="Emphasis"/>
        </w:rPr>
        <w:t>Integration models address high-burden conditions efficiently.</w:t>
      </w:r>
      <w:r>
        <w:t xml:space="preserve"> Collaborative care for behavioral health, chronic disease management embedded in primary care, and cardiovascular risk reduction through team-based care all demonstrate effectiveness in rural settings. States specifying evidence-based integration models, like Kentucky’s EmPATH units or Vermont’s hub-and-spoke OUD treatment, show stronger evidence alignment than states proposing generic workforce recruitment.</w:t>
      </w:r>
    </w:p>
    <w:p w14:paraId="65BAF1B8" w14:textId="77777777" w:rsidR="00046092" w:rsidRDefault="00FE286D">
      <w:r>
        <w:rPr>
          <w:rStyle w:val="Emphasis"/>
        </w:rPr>
        <w:t>Systems approaches outperform workforce-first strategies.</w:t>
      </w:r>
      <w:r>
        <w:t xml:space="preserve"> Evidence does not support the premise that recruiting specialists to rural areas reverses mortality trends. Evidence does support systems that extend limited expertise: telehealth consultation, hub-and-spoke models, and task-shifting to advanced practice providers with physician oversight. </w:t>
      </w:r>
      <w:r>
        <w:rPr>
          <w:rStyle w:val="Emphasis"/>
        </w:rPr>
        <w:t>States prioritizing system design over workforce addition are more likely to achieve outcome improvement.</w:t>
      </w:r>
    </w:p>
    <w:p w14:paraId="4FD809DE" w14:textId="77777777" w:rsidR="00046092" w:rsidRDefault="00FE286D">
      <w:r>
        <w:rPr>
          <w:rStyle w:val="Emphasis"/>
        </w:rPr>
        <w:t>Addressing highest-burden conditions requires naming them.</w:t>
      </w:r>
      <w:r>
        <w:t xml:space="preserve"> State plans that mention heart disease, cancer mortality, and suicide specifically are more likely to design interventions that address these conditions than plans using generic language about chronic disease and behavioral health. </w:t>
      </w:r>
      <w:r>
        <w:rPr>
          <w:rStyle w:val="Emphasis"/>
        </w:rPr>
        <w:t>Specificity in planning produces specificity in implementation.</w:t>
      </w:r>
    </w:p>
    <w:p w14:paraId="2DFF6450" w14:textId="77777777" w:rsidR="00046092" w:rsidRDefault="00FE286D">
      <w:r>
        <w:rPr>
          <w:rStyle w:val="Emphasis"/>
        </w:rPr>
        <w:t>Regional targeting improves efficiency.</w:t>
      </w:r>
      <w:r>
        <w:t xml:space="preserve"> States directing disproportionate resources to Delta counties, Appalachian communities, and tribal areas, where burden concentrates, will achieve greater impact per dollar than states distributing resources uniformly. </w:t>
      </w:r>
      <w:r>
        <w:rPr>
          <w:rStyle w:val="Emphasis"/>
        </w:rPr>
        <w:t>Geographic targeting based on burden data improves clinical responsiveness.</w:t>
      </w:r>
    </w:p>
    <w:p w14:paraId="39B822A9" w14:textId="77777777" w:rsidR="00046092" w:rsidRDefault="00FE286D">
      <w:r>
        <w:lastRenderedPageBreak/>
        <w:t>What clinically aligned transformation would require: states would name the conditions causing the most deaths, specify evidence-based interventions for those conditions, target resources to the regions with highest burden, and measure progress against mortality and morbidity outcomes rather than process metrics alone.</w:t>
      </w:r>
    </w:p>
    <w:p w14:paraId="68167FD0" w14:textId="77777777" w:rsidR="00046092" w:rsidRDefault="00FE286D">
      <w:pPr>
        <w:pStyle w:val="Heading1"/>
      </w:pPr>
      <w:bookmarkStart w:id="6" w:name="implications"/>
      <w:bookmarkEnd w:id="5"/>
      <w:r>
        <w:t>Implications</w:t>
      </w:r>
    </w:p>
    <w:p w14:paraId="42324746" w14:textId="77777777" w:rsidR="00046092" w:rsidRDefault="00FE286D">
      <w:r>
        <w:t>The mismatch between clinical burden and transformation investment suggests several conclusions.</w:t>
      </w:r>
    </w:p>
    <w:p w14:paraId="1DE513CF" w14:textId="77777777" w:rsidR="00046092" w:rsidRDefault="00FE286D">
      <w:r>
        <w:rPr>
          <w:rStyle w:val="Emphasis"/>
        </w:rPr>
        <w:t>RHTP will not eliminate rural mortality excess.</w:t>
      </w:r>
      <w:r>
        <w:t xml:space="preserve"> Even well-implemented transformation plans focus resources on some clinical domains while neglecting others. The conditions causing rural Americans to die, heart disease, cancer, unintentional injury, persist as investment priorities diverge from burden patterns. </w:t>
      </w:r>
      <w:r>
        <w:rPr>
          <w:rStyle w:val="Emphasis"/>
        </w:rPr>
        <w:t>States should plan for meaningful improvement, not transformation.</w:t>
      </w:r>
    </w:p>
    <w:p w14:paraId="7835BBB2" w14:textId="77777777" w:rsidR="00046092" w:rsidRDefault="00FE286D">
      <w:r>
        <w:rPr>
          <w:rStyle w:val="Emphasis"/>
        </w:rPr>
        <w:t>Behavioral health investments will help individuals without reversing population trends.</w:t>
      </w:r>
      <w:r>
        <w:t xml:space="preserve"> Clinical services matter. Untreated depression contributes to suicide. Untreated addiction drives overdose. But the structural conditions generating despair, economic collapse, community dissolution, declining social capital, remain outside healthcare’s reach. </w:t>
      </w:r>
      <w:r>
        <w:rPr>
          <w:rStyle w:val="Emphasis"/>
        </w:rPr>
        <w:t>RHTP behavioral health investment represents necessary but insufficient response.</w:t>
      </w:r>
    </w:p>
    <w:p w14:paraId="406E9127" w14:textId="77777777" w:rsidR="00046092" w:rsidRDefault="00FE286D">
      <w:r>
        <w:rPr>
          <w:rStyle w:val="Emphasis"/>
        </w:rPr>
        <w:t>Oral health will remain unaddressed.</w:t>
      </w:r>
      <w:r>
        <w:t xml:space="preserve"> The systemic exclusion of dental care from medical care persists in transformation planning. Absent federal requirement or state initiative, rural dental deserts will continue. Tooth loss rates will not improve. Emergency departments will remain default dental clinics. </w:t>
      </w:r>
      <w:r>
        <w:rPr>
          <w:rStyle w:val="Emphasis"/>
        </w:rPr>
        <w:t>The mouth will remain separated from the body.</w:t>
      </w:r>
    </w:p>
    <w:p w14:paraId="6CC357D0" w14:textId="77777777" w:rsidR="00046092" w:rsidRDefault="00FE286D">
      <w:r>
        <w:rPr>
          <w:rStyle w:val="Emphasis"/>
        </w:rPr>
        <w:t>Regional concentration demands regional targeting.</w:t>
      </w:r>
      <w:r>
        <w:t xml:space="preserve"> The Delta, Appalachia, tribal areas, and Black Belt carry disproportionate burden. States directing resources to these regions will achieve greater clinical impact than states pursuing uniform distribution. </w:t>
      </w:r>
      <w:r>
        <w:rPr>
          <w:rStyle w:val="Emphasis"/>
        </w:rPr>
        <w:t>Geographic targeting is not favoritism; it is clinical responsiveness.</w:t>
      </w:r>
    </w:p>
    <w:p w14:paraId="1D0CADD1" w14:textId="77777777" w:rsidR="00046092" w:rsidRDefault="00FE286D">
      <w:r>
        <w:rPr>
          <w:rStyle w:val="Emphasis"/>
        </w:rPr>
        <w:t>Post-2030 sustainability remains uncertain.</w:t>
      </w:r>
      <w:r>
        <w:t xml:space="preserve"> Many RHTP investments are grant-funded positions, technology purchases, and program expansions that require ongoing operational funding. What happens when RHTP ends? States building sustainable financing through Medicaid billing pathways and payment reform create durable capacity. States treating RHTP as temporary infusion face reversal. </w:t>
      </w:r>
      <w:r>
        <w:rPr>
          <w:rStyle w:val="Emphasis"/>
        </w:rPr>
        <w:t>The question is not just whether plans match burden but whether improvements persist.</w:t>
      </w:r>
    </w:p>
    <w:p w14:paraId="0A74EA18" w14:textId="77777777" w:rsidR="00046092" w:rsidRDefault="00FE286D">
      <w:pPr>
        <w:pStyle w:val="Heading1"/>
      </w:pPr>
      <w:bookmarkStart w:id="7" w:name="conclusion"/>
      <w:bookmarkEnd w:id="6"/>
      <w:r>
        <w:t>Conclusion</w:t>
      </w:r>
    </w:p>
    <w:p w14:paraId="424552EA" w14:textId="77777777" w:rsidR="00046092" w:rsidRDefault="00FE286D">
      <w:r>
        <w:t xml:space="preserve">Does transformation planning match clinical reality? The honest answer is </w:t>
      </w:r>
      <w:r>
        <w:rPr>
          <w:rStyle w:val="Emphasis"/>
        </w:rPr>
        <w:t>partially, unevenly, and incompletely</w:t>
      </w:r>
      <w:r>
        <w:t>.</w:t>
      </w:r>
    </w:p>
    <w:p w14:paraId="788ABDAF" w14:textId="77777777" w:rsidR="00046092" w:rsidRDefault="00FE286D">
      <w:r>
        <w:t>States correctly identify behavioral health as crisis and invest accordingly. States acknowledge maternal health challenges even when solutions cannot restore closed facilities. States build technology infrastructure that extends reach without creating capacity that does not exist.</w:t>
      </w:r>
    </w:p>
    <w:p w14:paraId="7D9BEB3D" w14:textId="77777777" w:rsidR="00046092" w:rsidRDefault="00FE286D">
      <w:r>
        <w:t xml:space="preserve">But transformation plans do not comprehensively address the clinical burdens documented throughout Series 11. </w:t>
      </w:r>
      <w:r>
        <w:rPr>
          <w:rStyle w:val="Emphasis"/>
        </w:rPr>
        <w:t>Heart disease remains the leading cause of rural death without proportionate investment priority.</w:t>
      </w:r>
      <w:r>
        <w:t xml:space="preserve"> Cancer mortality exceeds urban rates without transformation strategies for treatment access. Chronic disease prevalence rises despite management programs. Oral health persists as excluded domain.</w:t>
      </w:r>
    </w:p>
    <w:p w14:paraId="619C8F59" w14:textId="77777777" w:rsidR="00046092" w:rsidRDefault="00FE286D">
      <w:r>
        <w:t>The mismatch reflects structural constraints more than planning failures. States invest in what they can implement, measure what federal guidance requires, and respond to stakeholders with institutional voice. The conditions causing rural Americans to die do not map perfectly onto intervention availability, political visibility, or stakeholder organization.</w:t>
      </w:r>
    </w:p>
    <w:p w14:paraId="4E3443D7" w14:textId="77777777" w:rsidR="00046092" w:rsidRDefault="00FE286D">
      <w:r>
        <w:rPr>
          <w:rStyle w:val="Emphasis"/>
        </w:rPr>
        <w:t>The clinical reality documented in this series will outlast RHTP.</w:t>
      </w:r>
      <w:r>
        <w:t xml:space="preserve"> Rural Americans will continue dying from conditions that effective healthcare prevents. The question is whether transformation investment produces meaningful reduction in that mortality, whether five years of focused investment interrupts decades of decline, whether clinical reality improves even if plans do not perfectly match burden.</w:t>
      </w:r>
    </w:p>
    <w:p w14:paraId="461B6845" w14:textId="77777777" w:rsidR="00046092" w:rsidRDefault="00FE286D">
      <w:r>
        <w:lastRenderedPageBreak/>
        <w:t xml:space="preserve">The evidence suggests modest optimism for specific domains and specific regions: behavioral health improvement where evidence-based models are implemented, maternal health stabilization where facilities receive adequate support, chronic disease management where care coordination becomes standard practice. The evidence suggests continued challenge for conditions that transformation cannot easily address: specialist absence that telehealth extends but does not resolve, prevention failure that programming has </w:t>
      </w:r>
      <w:r>
        <w:t>not reversed, oral health exclusion that policy has not challenged.</w:t>
      </w:r>
    </w:p>
    <w:p w14:paraId="247BFEC0" w14:textId="77777777" w:rsidR="00046092" w:rsidRDefault="00FE286D">
      <w:r>
        <w:t xml:space="preserve">What transformation planning reveals about rural health transformation: </w:t>
      </w:r>
      <w:r>
        <w:rPr>
          <w:rStyle w:val="Emphasis"/>
        </w:rPr>
        <w:t>we plan for what we can measure, implement, and defend to stakeholders more than we plan for what kills people</w:t>
      </w:r>
      <w:r>
        <w:t>. The gap between investment priority and epidemiological need documents a system that responds to political and institutional logic as much as clinical logic. Whether that system can nonetheless improve outcomes remains the question Series 12 addresses as policy disruption compounds clinical challenge.</w:t>
      </w:r>
    </w:p>
    <w:p w14:paraId="43E8E3DE" w14:textId="77777777" w:rsidR="00046092" w:rsidRDefault="00FE286D">
      <w:pPr>
        <w:pStyle w:val="Heading1"/>
      </w:pPr>
      <w:bookmarkStart w:id="8" w:name="cross-references"/>
      <w:bookmarkEnd w:id="7"/>
      <w:r>
        <w:t>Cross-References</w:t>
      </w:r>
    </w:p>
    <w:p w14:paraId="587A8680" w14:textId="77777777" w:rsidR="00046092" w:rsidRDefault="00FE286D">
      <w:r>
        <w:rPr>
          <w:rStyle w:val="Emphasis"/>
        </w:rPr>
        <w:t>11A Disease Burden:</w:t>
      </w:r>
      <w:r>
        <w:t xml:space="preserve"> Foundational mortality data establishing treatable conditions as primary drivers of rural excess death.</w:t>
      </w:r>
    </w:p>
    <w:p w14:paraId="6F86C7F2" w14:textId="77777777" w:rsidR="00046092" w:rsidRDefault="00FE286D">
      <w:r>
        <w:rPr>
          <w:rStyle w:val="Emphasis"/>
        </w:rPr>
        <w:t>11B Specialty Gap:</w:t>
      </w:r>
      <w:r>
        <w:t xml:space="preserve"> Analysis of specialist maldistribution and economic impossibility of local specialist presence.</w:t>
      </w:r>
    </w:p>
    <w:p w14:paraId="20B17AE3" w14:textId="77777777" w:rsidR="00046092" w:rsidRDefault="00FE286D">
      <w:r>
        <w:rPr>
          <w:rStyle w:val="Emphasis"/>
        </w:rPr>
        <w:t>11C Mental Health and Despair:</w:t>
      </w:r>
      <w:r>
        <w:t xml:space="preserve"> Examination of deaths of despair and the limits of clinical response to structural devastation.</w:t>
      </w:r>
    </w:p>
    <w:p w14:paraId="53C42690" w14:textId="77777777" w:rsidR="00046092" w:rsidRDefault="00FE286D">
      <w:r>
        <w:rPr>
          <w:rStyle w:val="Emphasis"/>
        </w:rPr>
        <w:t>11D Chronic Disease and Prevention:</w:t>
      </w:r>
      <w:r>
        <w:t xml:space="preserve"> Assessment of prevention failure despite decades of programming investment.</w:t>
      </w:r>
    </w:p>
    <w:p w14:paraId="270842D2" w14:textId="77777777" w:rsidR="00046092" w:rsidRDefault="00FE286D">
      <w:r>
        <w:rPr>
          <w:rStyle w:val="Emphasis"/>
        </w:rPr>
        <w:t>11E Maternal and Child Health:</w:t>
      </w:r>
      <w:r>
        <w:t xml:space="preserve"> </w:t>
      </w:r>
      <w:r>
        <w:t>Documentation of maternity care deserts and obstetric closure cascade.</w:t>
      </w:r>
    </w:p>
    <w:p w14:paraId="02F84A55" w14:textId="77777777" w:rsidR="00046092" w:rsidRDefault="00FE286D">
      <w:r>
        <w:rPr>
          <w:rStyle w:val="Emphasis"/>
        </w:rPr>
        <w:t>11F Oral Health and the Dental Desert:</w:t>
      </w:r>
      <w:r>
        <w:t xml:space="preserve"> Analysis of oral health exclusion from healthcare policy.</w:t>
      </w:r>
    </w:p>
    <w:p w14:paraId="0A4862C4" w14:textId="77777777" w:rsidR="00046092" w:rsidRDefault="00FE286D">
      <w:r>
        <w:rPr>
          <w:rStyle w:val="Emphasis"/>
        </w:rPr>
        <w:t>11-TD-A Disease Burden Atlas:</w:t>
      </w:r>
      <w:r>
        <w:t xml:space="preserve"> Comprehensive data reference for mortality and morbidity by region.</w:t>
      </w:r>
    </w:p>
    <w:p w14:paraId="1601C26A" w14:textId="77777777" w:rsidR="00046092" w:rsidRDefault="00FE286D">
      <w:r>
        <w:rPr>
          <w:rStyle w:val="Emphasis"/>
        </w:rPr>
        <w:t>3.KY Kentucky Analysis:</w:t>
      </w:r>
      <w:r>
        <w:t xml:space="preserve"> State-level examination of priority alignment and implementation assessment.</w:t>
      </w:r>
    </w:p>
    <w:p w14:paraId="5C8C125F" w14:textId="77777777" w:rsidR="00046092" w:rsidRDefault="00FE286D">
      <w:r>
        <w:rPr>
          <w:rStyle w:val="Emphasis"/>
        </w:rPr>
        <w:t>4G Behavioral Health Integration:</w:t>
      </w:r>
      <w:r>
        <w:t xml:space="preserve"> </w:t>
      </w:r>
      <w:r>
        <w:t>Evidence base for collaborative care and behavioral health approaches.</w:t>
      </w:r>
    </w:p>
    <w:p w14:paraId="04A9A81C" w14:textId="77777777" w:rsidR="00046092" w:rsidRDefault="00FE286D">
      <w:r>
        <w:rPr>
          <w:rStyle w:val="Emphasis"/>
        </w:rPr>
        <w:t>5.Synthesis State Agency Structures:</w:t>
      </w:r>
      <w:r>
        <w:t xml:space="preserve"> Analysis of which agency structures support transformation.</w:t>
      </w:r>
    </w:p>
    <w:p w14:paraId="7BA2F104" w14:textId="77777777" w:rsidR="00046092" w:rsidRDefault="00FE286D">
      <w:r>
        <w:rPr>
          <w:rStyle w:val="Emphasis"/>
        </w:rPr>
        <w:t>12A Coverage Erosion:</w:t>
      </w:r>
      <w:r>
        <w:t xml:space="preserve"> Policy context for understanding clinical consequences of coverage loss.</w:t>
      </w:r>
    </w:p>
    <w:p w14:paraId="35052528" w14:textId="77777777" w:rsidR="00046092" w:rsidRDefault="00FE286D">
      <w:pPr>
        <w:pStyle w:val="Heading1"/>
      </w:pPr>
      <w:bookmarkStart w:id="9" w:name="sources"/>
      <w:bookmarkEnd w:id="8"/>
      <w:r>
        <w:t>Sources</w:t>
      </w:r>
    </w:p>
    <w:p w14:paraId="216F4F5E" w14:textId="77777777" w:rsidR="00046092" w:rsidRDefault="00FE286D">
      <w:r>
        <w:t xml:space="preserve">Case, Anne, and Angus Deaton. “Rising Morbidity and Mortality in Midlife Among White Non-Hispanic Americans in the 21st Century.” </w:t>
      </w:r>
      <w:r>
        <w:rPr>
          <w:i/>
          <w:iCs/>
        </w:rPr>
        <w:t>Proceedings of the National Academy of Sciences</w:t>
      </w:r>
      <w:r>
        <w:t>, vol. 112, no. 49, 2015, pp. 15078-15083.</w:t>
      </w:r>
    </w:p>
    <w:p w14:paraId="464488D6" w14:textId="77777777" w:rsidR="00046092" w:rsidRDefault="00FE286D">
      <w:r>
        <w:t xml:space="preserve">Centers for Disease Control and Prevention. “Leading Causes of Death in Rural America.” </w:t>
      </w:r>
      <w:r>
        <w:rPr>
          <w:i/>
          <w:iCs/>
        </w:rPr>
        <w:t>CDC Rural Health</w:t>
      </w:r>
      <w:r>
        <w:t>, 11 Mar. 2025, www.cdc.gov/rural-health/php/about/leading-causes-of-death.html.</w:t>
      </w:r>
    </w:p>
    <w:p w14:paraId="4E4262B7" w14:textId="77777777" w:rsidR="00046092" w:rsidRDefault="00FE286D">
      <w:r>
        <w:t xml:space="preserve">Centers for Disease Control and Prevention. “Preventable Premature Deaths from the Five Leading Causes of Death in Nonmetropolitan and Metropolitan Counties, United States, 2010-2022.” </w:t>
      </w:r>
      <w:r>
        <w:rPr>
          <w:i/>
          <w:iCs/>
        </w:rPr>
        <w:t>Morbidity and Mortality Weekly Report</w:t>
      </w:r>
      <w:r>
        <w:t>, vol. 73, no. 2, 2024, pp. 1-11.</w:t>
      </w:r>
    </w:p>
    <w:p w14:paraId="63D1F2AD" w14:textId="77777777" w:rsidR="00046092" w:rsidRDefault="00FE286D">
      <w:r>
        <w:t xml:space="preserve">Curtin, Sally C., and Merianne Rose Spencer. “Trends in Death Rates in Urban and Rural Areas: United States, 1999-2019.” </w:t>
      </w:r>
      <w:r>
        <w:rPr>
          <w:i/>
          <w:iCs/>
        </w:rPr>
        <w:t>NCHS Data Brief</w:t>
      </w:r>
      <w:r>
        <w:t>, no. 417, Sept. 2021.</w:t>
      </w:r>
    </w:p>
    <w:p w14:paraId="0857BBC8" w14:textId="77777777" w:rsidR="00046092" w:rsidRDefault="00FE286D">
      <w:r>
        <w:t>Health Resources and Services Administration. “Designated Health Professional Shortage Areas Statistics: Quarterly Report.” HRSA Data Warehouse, Sept. 2025.</w:t>
      </w:r>
    </w:p>
    <w:p w14:paraId="28CB8E79" w14:textId="77777777" w:rsidR="00046092" w:rsidRDefault="00FE286D">
      <w:r>
        <w:t>Kentucky Cabinet for Health and Family Services. “Rural Health Transformation Program Application.” Commonwealth of Kentucky, 2025.</w:t>
      </w:r>
    </w:p>
    <w:p w14:paraId="24256EE2" w14:textId="77777777" w:rsidR="00046092" w:rsidRDefault="00FE286D">
      <w:r>
        <w:t>March of Dimes. “Nowhere to Go: Maternity Care Deserts Across the US.” Report No. 4, 2024, marchofdimes.org/peristats/reports/united-states/maternity-care-deserts.</w:t>
      </w:r>
    </w:p>
    <w:p w14:paraId="4B1B8D0C" w14:textId="77777777" w:rsidR="00046092" w:rsidRDefault="00FE286D">
      <w:r>
        <w:lastRenderedPageBreak/>
        <w:t xml:space="preserve">Nolte, Ellen, and C. Martin McKee. “In Amenable Mortality: Deaths Avoidable Through Health Care: Progress in the US Lags That of Three European Countries.” </w:t>
      </w:r>
      <w:r>
        <w:rPr>
          <w:i/>
          <w:iCs/>
        </w:rPr>
        <w:t>Health Affairs</w:t>
      </w:r>
      <w:r>
        <w:t>, vol. 31, no. 9, 2012, pp. 2114-22.</w:t>
      </w:r>
    </w:p>
    <w:p w14:paraId="7AFEE0FE" w14:textId="77777777" w:rsidR="00046092" w:rsidRDefault="00FE286D">
      <w:r>
        <w:t>Rural Health Information Hub. “Rural Health Disparities Overview.” 2024, www.ruralhealthinfo.org/topics/rural-health-disparities.</w:t>
      </w:r>
    </w:p>
    <w:p w14:paraId="1F0A7619" w14:textId="77777777" w:rsidR="00046092" w:rsidRDefault="00FE286D">
      <w:r>
        <w:t>U.S. Department of Health and Human Services. “Oral Health in America: Advances and Challenges.” National Institute of Dental and Craniofacial Research, 2021.</w:t>
      </w:r>
    </w:p>
    <w:p w14:paraId="6F616071" w14:textId="77777777" w:rsidR="00046092" w:rsidRDefault="00FE286D">
      <w:r>
        <w:t xml:space="preserve">Woolf, Steven H., and Heidi Schoomaker. “Life Expectancy and Mortality Rates in the United States, 1959-2017.” </w:t>
      </w:r>
      <w:r>
        <w:rPr>
          <w:i/>
          <w:iCs/>
        </w:rPr>
        <w:t>Journal of the American Medical Association</w:t>
      </w:r>
      <w:r>
        <w:t>, vol. 322, no. 20, 2019, pp. 1996-2016.</w:t>
      </w:r>
    </w:p>
    <w:bookmarkEnd w:id="9"/>
    <w:sectPr w:rsidR="0004609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3E5B1" w14:textId="77777777" w:rsidR="00FE286D" w:rsidRDefault="00FE286D">
      <w:pPr>
        <w:spacing w:before="0" w:line="240" w:lineRule="auto"/>
      </w:pPr>
      <w:r>
        <w:separator/>
      </w:r>
    </w:p>
  </w:endnote>
  <w:endnote w:type="continuationSeparator" w:id="0">
    <w:p w14:paraId="0C08C3AE" w14:textId="77777777" w:rsidR="00FE286D" w:rsidRDefault="00FE286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altName w:val="Calibri"/>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D3489" w14:textId="77777777" w:rsidR="00FE286D" w:rsidRDefault="00FE286D" w:rsidP="000F4A8A">
    <w:pPr>
      <w:pStyle w:val="Footer"/>
    </w:pPr>
    <w:r>
      <w:rPr>
        <w:noProof/>
        <w14:ligatures w14:val="standardContextual"/>
      </w:rPr>
      <mc:AlternateContent>
        <mc:Choice Requires="wps">
          <w:drawing>
            <wp:anchor distT="0" distB="0" distL="114300" distR="114300" simplePos="0" relativeHeight="251657216" behindDoc="0" locked="0" layoutInCell="1" allowOverlap="1" wp14:anchorId="2416F9D9" wp14:editId="54DAE18F">
              <wp:simplePos x="0" y="0"/>
              <wp:positionH relativeFrom="margin">
                <wp:align>right</wp:align>
              </wp:positionH>
              <wp:positionV relativeFrom="paragraph">
                <wp:posOffset>-56318</wp:posOffset>
              </wp:positionV>
              <wp:extent cx="5928303" cy="3399"/>
              <wp:effectExtent l="0" t="0" r="34925" b="34925"/>
              <wp:wrapNone/>
              <wp:docPr id="1330319518" name="Straight Connector 4"/>
              <wp:cNvGraphicFramePr/>
              <a:graphic xmlns:a="http://schemas.openxmlformats.org/drawingml/2006/main">
                <a:graphicData uri="http://schemas.microsoft.com/office/word/2010/wordprocessingShape">
                  <wps:wsp>
                    <wps:cNvCnPr/>
                    <wps:spPr>
                      <a:xfrm flipV="1">
                        <a:off x="0" y="0"/>
                        <a:ext cx="5928303" cy="33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57F177" id="Straight Connector 4" o:spid="_x0000_s1026" style="position:absolute;flip: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6pt,-4.45pt" to="882.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" strokecolor="#156082 [3204]" strokeweight=".5pt">
              <v:stroke joinstyle="miter"/>
              <w10:wrap anchorx="margin"/>
            </v:line>
          </w:pict>
        </mc:Fallback>
      </mc:AlternateContent>
    </w:r>
    <w:r>
      <w:rPr>
        <w:noProof/>
      </w:rPr>
      <mc:AlternateContent>
        <mc:Choice Requires="wps">
          <w:drawing>
            <wp:anchor distT="45720" distB="45720" distL="114300" distR="114300" simplePos="0" relativeHeight="251658240" behindDoc="0" locked="0" layoutInCell="1" allowOverlap="1" wp14:anchorId="39B40326" wp14:editId="768430D3">
              <wp:simplePos x="0" y="0"/>
              <wp:positionH relativeFrom="margin">
                <wp:align>left</wp:align>
              </wp:positionH>
              <wp:positionV relativeFrom="paragraph">
                <wp:posOffset>-25726</wp:posOffset>
              </wp:positionV>
              <wp:extent cx="4538007" cy="237691"/>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8007" cy="237691"/>
                      </a:xfrm>
                      <a:prstGeom prst="rect">
                        <a:avLst/>
                      </a:prstGeom>
                      <a:solidFill>
                        <a:srgbClr val="FFFFFF"/>
                      </a:solidFill>
                      <a:ln w="9525">
                        <a:noFill/>
                        <a:miter lim="800000"/>
                        <a:headEnd/>
                        <a:tailEnd/>
                      </a:ln>
                    </wps:spPr>
                    <wps:txbx>
                      <w:txbxContent>
                        <w:p w14:paraId="29BDB6C5" w14:textId="77777777" w:rsidR="00FE286D" w:rsidRPr="00B31822" w:rsidRDefault="00FE286D"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6E19631A" w14:textId="77777777" w:rsidR="00FE286D" w:rsidRPr="00B31822" w:rsidRDefault="00FE286D" w:rsidP="000F4A8A">
                          <w:pPr>
                            <w:spacing w:before="0" w:line="240" w:lineRule="auto"/>
                            <w:ind w:left="-144"/>
                            <w:rPr>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B40326" id="_x0000_t202" coordsize="21600,21600" o:spt="202" path="m,l,21600r21600,l21600,xe">
              <v:stroke joinstyle="miter"/>
              <v:path gradientshapeok="t" o:connecttype="rect"/>
            </v:shapetype>
            <v:shape id="_x0000_s1032" type="#_x0000_t202" style="position:absolute;margin-left:0;margin-top:-2.05pt;width:357.3pt;height:18.7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P9EQIAAP0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" stroked="f">
              <v:textbox>
                <w:txbxContent>
                  <w:p w14:paraId="29BDB6C5" w14:textId="77777777" w:rsidR="00FE286D" w:rsidRPr="00B31822" w:rsidRDefault="00FE286D"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6E19631A" w14:textId="77777777" w:rsidR="00FE286D" w:rsidRPr="00B31822" w:rsidRDefault="00FE286D" w:rsidP="000F4A8A">
                    <w:pPr>
                      <w:spacing w:before="0" w:line="240" w:lineRule="auto"/>
                      <w:ind w:left="-144"/>
                      <w:rPr>
                        <w:color w:val="156082" w:themeColor="accent1"/>
                      </w:rPr>
                    </w:pPr>
                  </w:p>
                </w:txbxContent>
              </v:textbox>
              <w10:wrap anchorx="margin"/>
            </v:shape>
          </w:pict>
        </mc:Fallback>
      </mc:AlternateContent>
    </w:r>
    <w:r>
      <w:tab/>
    </w:r>
    <w:r>
      <w:tab/>
    </w:r>
  </w:p>
  <w:p w14:paraId="595549CE" w14:textId="77777777" w:rsidR="00FE286D" w:rsidRPr="00E71036" w:rsidRDefault="00FE286D" w:rsidP="000F4A8A">
    <w:pPr>
      <w:pStyle w:val="Footer"/>
      <w:jc w:val="right"/>
      <w:rPr>
        <w:i/>
        <w:iCs/>
        <w:sz w:val="16"/>
        <w:szCs w:val="16"/>
      </w:rPr>
    </w:pPr>
    <w:r>
      <w:rPr>
        <w:noProof/>
      </w:rPr>
      <mc:AlternateContent>
        <mc:Choice Requires="wps">
          <w:drawing>
            <wp:anchor distT="45720" distB="45720" distL="114300" distR="114300" simplePos="0" relativeHeight="251659264" behindDoc="0" locked="0" layoutInCell="1" allowOverlap="1" wp14:anchorId="44EDD346" wp14:editId="4669BCC8">
              <wp:simplePos x="0" y="0"/>
              <wp:positionH relativeFrom="margin">
                <wp:align>right</wp:align>
              </wp:positionH>
              <wp:positionV relativeFrom="paragraph">
                <wp:posOffset>96745</wp:posOffset>
              </wp:positionV>
              <wp:extent cx="4129405" cy="253584"/>
              <wp:effectExtent l="0" t="0" r="0" b="0"/>
              <wp:wrapNone/>
              <wp:docPr id="1868881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253584"/>
                      </a:xfrm>
                      <a:prstGeom prst="rect">
                        <a:avLst/>
                      </a:prstGeom>
                      <a:noFill/>
                      <a:ln w="9525">
                        <a:noFill/>
                        <a:miter lim="800000"/>
                        <a:headEnd/>
                        <a:tailEnd/>
                      </a:ln>
                    </wps:spPr>
                    <wps:txbx>
                      <w:txbxContent>
                        <w:p w14:paraId="7F7A9BFB" w14:textId="77777777" w:rsidR="00FE286D" w:rsidRPr="00046EE7" w:rsidRDefault="00FE286D"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DD346" id="_x0000_s1033" type="#_x0000_t202" style="position:absolute;left:0;text-align:left;margin-left:273.95pt;margin-top:7.6pt;width:325.15pt;height:19.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" filled="f" stroked="f">
              <v:textbox>
                <w:txbxContent>
                  <w:p w14:paraId="7F7A9BFB" w14:textId="77777777" w:rsidR="00FE286D" w:rsidRPr="00046EE7" w:rsidRDefault="00FE286D"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v:textbox>
              <w10:wrap anchorx="margin"/>
            </v:shape>
          </w:pict>
        </mc:Fallback>
      </mc:AlternateContent>
    </w:r>
  </w:p>
  <w:p w14:paraId="37FD3C1A" w14:textId="77777777" w:rsidR="00FE286D" w:rsidRPr="006D16AB" w:rsidRDefault="00FE286D" w:rsidP="006D1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7111F" w14:textId="77777777" w:rsidR="00046092" w:rsidRDefault="00FE286D">
      <w:r>
        <w:separator/>
      </w:r>
    </w:p>
  </w:footnote>
  <w:footnote w:type="continuationSeparator" w:id="0">
    <w:p w14:paraId="514FCA74" w14:textId="77777777" w:rsidR="00046092" w:rsidRDefault="00FE28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EA355" w14:textId="77777777" w:rsidR="00FE286D" w:rsidRDefault="00FE286D">
    <w:pPr>
      <w:pStyle w:val="Header"/>
    </w:pPr>
    <w:r>
      <w:rPr>
        <w:noProof/>
      </w:rPr>
      <mc:AlternateContent>
        <mc:Choice Requires="wps">
          <w:drawing>
            <wp:anchor distT="45720" distB="45720" distL="114300" distR="114300" simplePos="0" relativeHeight="251656192" behindDoc="0" locked="0" layoutInCell="1" allowOverlap="1" wp14:anchorId="6EA4F216" wp14:editId="1CDF87CE">
              <wp:simplePos x="0" y="0"/>
              <wp:positionH relativeFrom="margin">
                <wp:posOffset>-57329</wp:posOffset>
              </wp:positionH>
              <wp:positionV relativeFrom="paragraph">
                <wp:posOffset>-227883</wp:posOffset>
              </wp:positionV>
              <wp:extent cx="4675192" cy="690044"/>
              <wp:effectExtent l="0" t="0" r="0" b="0"/>
              <wp:wrapNone/>
              <wp:docPr id="830690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192" cy="690044"/>
                      </a:xfrm>
                      <a:prstGeom prst="rect">
                        <a:avLst/>
                      </a:prstGeom>
                      <a:solidFill>
                        <a:srgbClr val="FFFFFF"/>
                      </a:solidFill>
                      <a:ln w="9525">
                        <a:noFill/>
                        <a:miter lim="800000"/>
                        <a:headEnd/>
                        <a:tailEnd/>
                      </a:ln>
                    </wps:spPr>
                    <wps:txbx>
                      <w:txbxContent>
                        <w:p w14:paraId="72A303B8" w14:textId="77777777" w:rsidR="00046092" w:rsidRDefault="00FE286D">
                          <w:pPr>
                            <w:pStyle w:val="Title"/>
                            <w:rPr>
                              <w:rFonts w:ascii="Aptos Display" w:hAnsi="Aptos Display"/>
                              <w:sz w:val="22"/>
                              <w:szCs w:val="22"/>
                            </w:rPr>
                          </w:pPr>
                          <w:r>
                            <w:rPr>
                              <w:rFonts w:ascii="Aptos Display" w:hAnsi="Aptos Display"/>
                              <w:sz w:val="22"/>
                              <w:szCs w:val="22"/>
                            </w:rPr>
                            <w:t>RHTP 11.Synthesis:</w:t>
                          </w:r>
                        </w:p>
                        <w:p w14:paraId="72D2992F" w14:textId="77777777" w:rsidR="00046092" w:rsidRDefault="00FE286D">
                          <w:pPr>
                            <w:pStyle w:val="Title"/>
                            <w:rPr>
                              <w:rFonts w:ascii="Aptos Display" w:hAnsi="Aptos Display"/>
                              <w:sz w:val="28"/>
                              <w:szCs w:val="28"/>
                            </w:rPr>
                          </w:pPr>
                          <w:r>
                            <w:rPr>
                              <w:rFonts w:ascii="Aptos Display" w:hAnsi="Aptos Display"/>
                              <w:sz w:val="28"/>
                              <w:szCs w:val="28"/>
                            </w:rPr>
                            <w:t>Does Transformation Planning Match Clinical Reality?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A4F216" id="_x0000_t202" coordsize="21600,21600" o:spt="202" path="m,l,21600r21600,l21600,xe">
              <v:stroke joinstyle="miter"/>
              <v:path gradientshapeok="t" o:connecttype="rect"/>
            </v:shapetype>
            <v:shape id="Text Box 2" o:spid="_x0000_s1026" type="#_x0000_t202" style="position:absolute;margin-left:-4.5pt;margin-top:-17.95pt;width:368.15pt;height:54.3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" stroked="f">
              <v:textbox>
                <w:txbxContent>
                  <w:p w14:paraId="72A303B8" w14:textId="77777777" w:rsidR="00046092" w:rsidRDefault="00FE286D">
                    <w:pPr>
                      <w:pStyle w:val="Title"/>
                      <w:rPr>
                        <w:rFonts w:ascii="Aptos Display" w:hAnsi="Aptos Display"/>
                        <w:sz w:val="22"/>
                        <w:szCs w:val="22"/>
                      </w:rPr>
                    </w:pPr>
                    <w:r>
                      <w:rPr>
                        <w:rFonts w:ascii="Aptos Display" w:hAnsi="Aptos Display"/>
                        <w:sz w:val="22"/>
                        <w:szCs w:val="22"/>
                      </w:rPr>
                      <w:t>RHTP 11.Synthesis:</w:t>
                    </w:r>
                  </w:p>
                  <w:p w14:paraId="72D2992F" w14:textId="77777777" w:rsidR="00046092" w:rsidRDefault="00FE286D">
                    <w:pPr>
                      <w:pStyle w:val="Title"/>
                      <w:rPr>
                        <w:rFonts w:ascii="Aptos Display" w:hAnsi="Aptos Display"/>
                        <w:sz w:val="28"/>
                        <w:szCs w:val="28"/>
                      </w:rPr>
                    </w:pPr>
                    <w:r>
                      <w:rPr>
                        <w:rFonts w:ascii="Aptos Display" w:hAnsi="Aptos Display"/>
                        <w:sz w:val="28"/>
                        <w:szCs w:val="28"/>
                      </w:rPr>
                      <w:t>Does Transformation Planning Match Clinical Reality?</w:t>
                    </w:r>
                  </w:p>
                </w:txbxContent>
              </v:textbox>
              <w10:wrap anchorx="margin"/>
            </v:shape>
          </w:pict>
        </mc:Fallback>
      </mc:AlternateContent>
    </w:r>
    <w:r>
      <w:rPr>
        <w:noProof/>
      </w:rPr>
      <w:drawing>
        <wp:anchor distT="0" distB="0" distL="114300" distR="114300" simplePos="0" relativeHeight="251660288" behindDoc="0" locked="0" layoutInCell="1" allowOverlap="1" wp14:anchorId="3F1AD434" wp14:editId="617C216A">
          <wp:simplePos x="0" y="0"/>
          <wp:positionH relativeFrom="margin">
            <wp:posOffset>4598984</wp:posOffset>
          </wp:positionH>
          <wp:positionV relativeFrom="paragraph">
            <wp:posOffset>55896</wp:posOffset>
          </wp:positionV>
          <wp:extent cx="1488387" cy="377940"/>
          <wp:effectExtent l="0" t="0" r="0" b="3175"/>
          <wp:wrapNone/>
          <wp:docPr id="599323403"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23403"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99462" cy="380752"/>
                  </a:xfrm>
                  <a:prstGeom prst="rect">
                    <a:avLst/>
                  </a:prstGeom>
                </pic:spPr>
              </pic:pic>
            </a:graphicData>
          </a:graphic>
          <wp14:sizeRelH relativeFrom="margin">
            <wp14:pctWidth>0</wp14:pctWidth>
          </wp14:sizeRelH>
          <wp14:sizeRelV relativeFrom="margin">
            <wp14:pctHeight>0</wp14:pctHeight>
          </wp14:sizeRelV>
        </wp:anchor>
      </w:drawing>
    </w:r>
    <w:sdt>
      <w:sdtPr>
        <w:id w:val="-1536042918"/>
        <w:docPartObj>
          <w:docPartGallery w:val="Page Numbers (Top of Page)"/>
          <w:docPartUnique/>
        </w:docPartObj>
      </w:sdtPr>
      <w:sdtEndPr/>
      <w:sdtContent>
        <w:r>
          <w:rPr>
            <w:noProof/>
          </w:rPr>
          <mc:AlternateContent>
            <mc:Choice Requires="wpg">
              <w:drawing>
                <wp:anchor distT="0" distB="0" distL="114300" distR="114300" simplePos="0" relativeHeight="251655168" behindDoc="0" locked="0" layoutInCell="0" allowOverlap="1" wp14:anchorId="5E55B916" wp14:editId="5571752B">
                  <wp:simplePos x="0" y="0"/>
                  <wp:positionH relativeFrom="rightMargin">
                    <wp:align>left</wp:align>
                  </wp:positionH>
                  <wp:positionV relativeFrom="margin">
                    <wp:align>top</wp:align>
                  </wp:positionV>
                  <wp:extent cx="902335" cy="1902460"/>
                  <wp:effectExtent l="0" t="9525" r="12065" b="2540"/>
                  <wp:wrapNone/>
                  <wp:docPr id="16410171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600616591" name="Group 7"/>
                          <wpg:cNvGrpSpPr>
                            <a:grpSpLocks/>
                          </wpg:cNvGrpSpPr>
                          <wpg:grpSpPr bwMode="auto">
                            <a:xfrm flipV="1">
                              <a:off x="13" y="14340"/>
                              <a:ext cx="1410" cy="71"/>
                              <a:chOff x="-83" y="540"/>
                              <a:chExt cx="1218" cy="71"/>
                            </a:xfrm>
                          </wpg:grpSpPr>
                          <wps:wsp>
                            <wps:cNvPr id="1820961130"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440951311"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972406835"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DD9AB7" w14:textId="77777777" w:rsidR="00FE286D" w:rsidRDefault="00FE286D">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5E55B916" id="Group 1" o:spid="_x0000_s1027" style="position:absolute;margin-left:0;margin-top:0;width:71.05pt;height:149.8pt;flip:x y;z-index:251655168;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" o:allowincell="f">
                  <v:group id="Group 7" o:spid="_x0000_s1028"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">
                    <v:rect id="Rectangle 8" o:spid="_x0000_s1029"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" fillcolor="#5f497a" strokecolor="#5f497a"/>
                    <v:shapetype id="_x0000_t32" coordsize="21600,21600" o:spt="32" o:oned="t" path="m,l21600,21600e" filled="f">
                      <v:path arrowok="t" fillok="f" o:connecttype="none"/>
                      <o:lock v:ext="edit" shapetype="t"/>
                    </v:shapetype>
                    <v:shape id="AutoShape 9" o:spid="_x0000_s1030"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" strokecolor="#5f497a"/>
                  </v:group>
                  <v:rect id="Rectangle 10" o:spid="_x0000_s1031"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" stroked="f">
                    <v:textbox style="layout-flow:vertical;mso-layout-flow-alt:bottom-to-top" inset="0,0,0,0">
                      <w:txbxContent>
                        <w:p w14:paraId="33DD9AB7" w14:textId="77777777" w:rsidR="00FE286D" w:rsidRDefault="00FE286D">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v:textbox>
                  </v:rect>
                  <w10:wrap anchorx="margin" anchory="margin"/>
                </v:group>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1282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5EC6D8C"/>
    <w:multiLevelType w:val="multilevel"/>
    <w:tmpl w:val="C10A1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85140"/>
    <w:multiLevelType w:val="multilevel"/>
    <w:tmpl w:val="86A8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A2656"/>
    <w:multiLevelType w:val="multilevel"/>
    <w:tmpl w:val="EF70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8711D"/>
    <w:multiLevelType w:val="multilevel"/>
    <w:tmpl w:val="47F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1737E"/>
    <w:multiLevelType w:val="multilevel"/>
    <w:tmpl w:val="D78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46BEA"/>
    <w:multiLevelType w:val="multilevel"/>
    <w:tmpl w:val="62A2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0067E"/>
    <w:multiLevelType w:val="multilevel"/>
    <w:tmpl w:val="A56C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E1BC6"/>
    <w:multiLevelType w:val="multilevel"/>
    <w:tmpl w:val="6DD4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C77A9D"/>
    <w:multiLevelType w:val="multilevel"/>
    <w:tmpl w:val="615A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34E7A"/>
    <w:multiLevelType w:val="multilevel"/>
    <w:tmpl w:val="EAA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56CD0"/>
    <w:multiLevelType w:val="multilevel"/>
    <w:tmpl w:val="5D0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940E6"/>
    <w:multiLevelType w:val="multilevel"/>
    <w:tmpl w:val="EB1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13777"/>
    <w:multiLevelType w:val="multilevel"/>
    <w:tmpl w:val="138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44F27"/>
    <w:multiLevelType w:val="multilevel"/>
    <w:tmpl w:val="B774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26AF4"/>
    <w:multiLevelType w:val="multilevel"/>
    <w:tmpl w:val="D232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E31E72"/>
    <w:multiLevelType w:val="multilevel"/>
    <w:tmpl w:val="50A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1110D"/>
    <w:multiLevelType w:val="multilevel"/>
    <w:tmpl w:val="9CF6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36A6D"/>
    <w:multiLevelType w:val="multilevel"/>
    <w:tmpl w:val="5D9E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0218B5"/>
    <w:multiLevelType w:val="multilevel"/>
    <w:tmpl w:val="1A18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23A65"/>
    <w:multiLevelType w:val="multilevel"/>
    <w:tmpl w:val="D970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C56A55"/>
    <w:multiLevelType w:val="multilevel"/>
    <w:tmpl w:val="085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4D4CE1"/>
    <w:multiLevelType w:val="multilevel"/>
    <w:tmpl w:val="168C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8006B"/>
    <w:multiLevelType w:val="multilevel"/>
    <w:tmpl w:val="87E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840FA"/>
    <w:multiLevelType w:val="multilevel"/>
    <w:tmpl w:val="DF7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826B1A"/>
    <w:multiLevelType w:val="multilevel"/>
    <w:tmpl w:val="3E2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2203">
    <w:abstractNumId w:val="24"/>
  </w:num>
  <w:num w:numId="2" w16cid:durableId="1550805610">
    <w:abstractNumId w:val="17"/>
  </w:num>
  <w:num w:numId="3" w16cid:durableId="30619172">
    <w:abstractNumId w:val="10"/>
  </w:num>
  <w:num w:numId="4" w16cid:durableId="1240483081">
    <w:abstractNumId w:val="11"/>
  </w:num>
  <w:num w:numId="5" w16cid:durableId="515266726">
    <w:abstractNumId w:val="6"/>
  </w:num>
  <w:num w:numId="6" w16cid:durableId="1067149170">
    <w:abstractNumId w:val="9"/>
  </w:num>
  <w:num w:numId="7" w16cid:durableId="608440070">
    <w:abstractNumId w:val="19"/>
  </w:num>
  <w:num w:numId="8" w16cid:durableId="1966036733">
    <w:abstractNumId w:val="4"/>
  </w:num>
  <w:num w:numId="9" w16cid:durableId="673845531">
    <w:abstractNumId w:val="22"/>
  </w:num>
  <w:num w:numId="10" w16cid:durableId="2038849076">
    <w:abstractNumId w:val="23"/>
  </w:num>
  <w:num w:numId="11" w16cid:durableId="263726929">
    <w:abstractNumId w:val="13"/>
  </w:num>
  <w:num w:numId="12" w16cid:durableId="2057654448">
    <w:abstractNumId w:val="3"/>
  </w:num>
  <w:num w:numId="13" w16cid:durableId="1227716637">
    <w:abstractNumId w:val="14"/>
  </w:num>
  <w:num w:numId="14" w16cid:durableId="372073819">
    <w:abstractNumId w:val="12"/>
  </w:num>
  <w:num w:numId="15" w16cid:durableId="1674145809">
    <w:abstractNumId w:val="5"/>
  </w:num>
  <w:num w:numId="16" w16cid:durableId="1752920396">
    <w:abstractNumId w:val="25"/>
  </w:num>
  <w:num w:numId="17" w16cid:durableId="1929608369">
    <w:abstractNumId w:val="16"/>
  </w:num>
  <w:num w:numId="18" w16cid:durableId="1768846872">
    <w:abstractNumId w:val="20"/>
  </w:num>
  <w:num w:numId="19" w16cid:durableId="760953169">
    <w:abstractNumId w:val="8"/>
  </w:num>
  <w:num w:numId="20" w16cid:durableId="262809403">
    <w:abstractNumId w:val="1"/>
  </w:num>
  <w:num w:numId="21" w16cid:durableId="1414474875">
    <w:abstractNumId w:val="18"/>
  </w:num>
  <w:num w:numId="22" w16cid:durableId="55591237">
    <w:abstractNumId w:val="21"/>
  </w:num>
  <w:num w:numId="23" w16cid:durableId="2093548021">
    <w:abstractNumId w:val="7"/>
  </w:num>
  <w:num w:numId="24" w16cid:durableId="1976400285">
    <w:abstractNumId w:val="15"/>
  </w:num>
  <w:num w:numId="25" w16cid:durableId="510527582">
    <w:abstractNumId w:val="2"/>
  </w:num>
  <w:num w:numId="26" w16cid:durableId="1093354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092"/>
    <w:rsid w:val="00046092"/>
    <w:rsid w:val="00C73FAF"/>
    <w:rsid w:val="00FE2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6FC56"/>
  <w15:docId w15:val="{9E5B6986-EF02-4DB3-A5DF-9D8F84D32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407"/>
    <w:pPr>
      <w:spacing w:before="40" w:after="0" w:line="259" w:lineRule="auto"/>
    </w:pPr>
    <w:rPr>
      <w:rFonts w:eastAsiaTheme="minorEastAsia"/>
      <w:kern w:val="0"/>
      <w:sz w:val="20"/>
      <w:szCs w:val="22"/>
      <w14:ligatures w14:val="none"/>
    </w:rPr>
  </w:style>
  <w:style w:type="paragraph" w:styleId="Heading1">
    <w:name w:val="heading 1"/>
    <w:basedOn w:val="Normal"/>
    <w:next w:val="Normal"/>
    <w:link w:val="Heading1Char"/>
    <w:autoRedefine/>
    <w:uiPriority w:val="9"/>
    <w:qFormat/>
    <w:rsid w:val="00A56578"/>
    <w:pPr>
      <w:keepNext/>
      <w:keepLines/>
      <w:outlineLvl w:val="0"/>
    </w:pPr>
    <w:rPr>
      <w:rFonts w:asciiTheme="majorHAnsi" w:eastAsiaTheme="majorEastAsia" w:hAnsiTheme="majorHAnsi" w:cstheme="majorBidi"/>
      <w:color w:val="215E99" w:themeColor="text2" w:themeTint="BF"/>
      <w:kern w:val="2"/>
      <w:sz w:val="28"/>
      <w:szCs w:val="28"/>
      <w14:ligatures w14:val="standardContextual"/>
    </w:rPr>
  </w:style>
  <w:style w:type="paragraph" w:styleId="Heading2">
    <w:name w:val="heading 2"/>
    <w:basedOn w:val="Normal"/>
    <w:next w:val="Normal"/>
    <w:link w:val="Heading2Char"/>
    <w:autoRedefine/>
    <w:uiPriority w:val="9"/>
    <w:unhideWhenUsed/>
    <w:qFormat/>
    <w:rsid w:val="00E47B72"/>
    <w:pPr>
      <w:keepNext/>
      <w:keepLines/>
      <w:spacing w:after="80"/>
      <w:outlineLvl w:val="1"/>
    </w:pPr>
    <w:rPr>
      <w:rFonts w:asciiTheme="majorHAnsi" w:eastAsiaTheme="majorEastAsia" w:hAnsiTheme="majorHAnsi" w:cstheme="majorBidi"/>
      <w:color w:val="0B769F" w:themeColor="accent4" w:themeShade="BF"/>
      <w:kern w:val="2"/>
      <w:sz w:val="24"/>
      <w:szCs w:val="26"/>
      <w14:ligatures w14:val="standardContextual"/>
    </w:rPr>
  </w:style>
  <w:style w:type="paragraph" w:styleId="Heading3">
    <w:name w:val="heading 3"/>
    <w:basedOn w:val="Normal"/>
    <w:next w:val="Normal"/>
    <w:link w:val="Heading3Char"/>
    <w:autoRedefine/>
    <w:uiPriority w:val="9"/>
    <w:unhideWhenUsed/>
    <w:qFormat/>
    <w:rsid w:val="00D938B0"/>
    <w:pPr>
      <w:keepNext/>
      <w:keepLines/>
      <w:outlineLvl w:val="2"/>
    </w:pPr>
    <w:rPr>
      <w:rFonts w:eastAsiaTheme="majorEastAsia" w:cstheme="majorBidi"/>
      <w:b/>
      <w:bCs/>
      <w:i/>
      <w:color w:val="80340D" w:themeColor="accent2" w:themeShade="80"/>
      <w:kern w:val="2"/>
      <w:szCs w:val="24"/>
      <w14:ligatures w14:val="standardContextual"/>
    </w:rPr>
  </w:style>
  <w:style w:type="paragraph" w:styleId="Heading4">
    <w:name w:val="heading 4"/>
    <w:basedOn w:val="Normal"/>
    <w:next w:val="Normal"/>
    <w:link w:val="Heading4Char"/>
    <w:autoRedefine/>
    <w:uiPriority w:val="9"/>
    <w:semiHidden/>
    <w:unhideWhenUsed/>
    <w:qFormat/>
    <w:rsid w:val="00045B39"/>
    <w:pPr>
      <w:keepNext/>
      <w:keepLines/>
      <w:ind w:firstLine="720"/>
      <w:outlineLvl w:val="3"/>
    </w:pPr>
    <w:rPr>
      <w:rFonts w:eastAsiaTheme="majorEastAsia" w:cstheme="majorBidi"/>
      <w:b/>
      <w:bCs/>
      <w:iCs/>
      <w:kern w:val="2"/>
      <w:szCs w:val="24"/>
      <w14:ligatures w14:val="standardContextual"/>
    </w:rPr>
  </w:style>
  <w:style w:type="paragraph" w:styleId="Heading5">
    <w:name w:val="heading 5"/>
    <w:basedOn w:val="Normal"/>
    <w:next w:val="Normal"/>
    <w:link w:val="Heading5Char"/>
    <w:uiPriority w:val="9"/>
    <w:semiHidden/>
    <w:unhideWhenUsed/>
    <w:qFormat/>
    <w:rsid w:val="002F7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C56"/>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C56"/>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C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C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FD5A9A"/>
    <w:rPr>
      <w:rFonts w:ascii="Avenir Next LT Pro" w:hAnsi="Avenir Next LT Pro"/>
      <w:b w:val="0"/>
      <w:i/>
      <w:iCs/>
      <w:color w:val="80340D" w:themeColor="accent2" w:themeShade="80"/>
      <w:sz w:val="20"/>
    </w:rPr>
  </w:style>
  <w:style w:type="character" w:customStyle="1" w:styleId="Heading3Char">
    <w:name w:val="Heading 3 Char"/>
    <w:basedOn w:val="DefaultParagraphFont"/>
    <w:link w:val="Heading3"/>
    <w:uiPriority w:val="9"/>
    <w:rsid w:val="00D938B0"/>
    <w:rPr>
      <w:rFonts w:eastAsiaTheme="majorEastAsia" w:cstheme="majorBidi"/>
      <w:b/>
      <w:bCs/>
      <w:i/>
      <w:color w:val="80340D" w:themeColor="accent2" w:themeShade="80"/>
      <w:sz w:val="20"/>
    </w:rPr>
  </w:style>
  <w:style w:type="paragraph" w:customStyle="1" w:styleId="References">
    <w:name w:val="References"/>
    <w:basedOn w:val="Normal"/>
    <w:autoRedefine/>
    <w:qFormat/>
    <w:rsid w:val="00045B39"/>
    <w:pPr>
      <w:ind w:left="720" w:hanging="720"/>
    </w:pPr>
    <w:rPr>
      <w:b/>
    </w:rPr>
  </w:style>
  <w:style w:type="character" w:customStyle="1" w:styleId="Heading1Char">
    <w:name w:val="Heading 1 Char"/>
    <w:basedOn w:val="DefaultParagraphFont"/>
    <w:link w:val="Heading1"/>
    <w:uiPriority w:val="9"/>
    <w:rsid w:val="00A56578"/>
    <w:rPr>
      <w:rFonts w:asciiTheme="majorHAnsi" w:eastAsiaTheme="majorEastAsia" w:hAnsiTheme="majorHAnsi" w:cstheme="majorBidi"/>
      <w:color w:val="215E99" w:themeColor="text2" w:themeTint="BF"/>
      <w:sz w:val="28"/>
      <w:szCs w:val="28"/>
    </w:rPr>
  </w:style>
  <w:style w:type="character" w:customStyle="1" w:styleId="Heading2Char">
    <w:name w:val="Heading 2 Char"/>
    <w:basedOn w:val="DefaultParagraphFont"/>
    <w:link w:val="Heading2"/>
    <w:uiPriority w:val="9"/>
    <w:rsid w:val="00E47B72"/>
    <w:rPr>
      <w:rFonts w:asciiTheme="majorHAnsi" w:eastAsiaTheme="majorEastAsia" w:hAnsiTheme="majorHAnsi" w:cstheme="majorBidi"/>
      <w:color w:val="0B769F" w:themeColor="accent4" w:themeShade="BF"/>
      <w:szCs w:val="26"/>
    </w:rPr>
  </w:style>
  <w:style w:type="character" w:customStyle="1" w:styleId="Heading4Char">
    <w:name w:val="Heading 4 Char"/>
    <w:basedOn w:val="DefaultParagraphFont"/>
    <w:link w:val="Heading4"/>
    <w:uiPriority w:val="9"/>
    <w:semiHidden/>
    <w:rsid w:val="00045B39"/>
    <w:rPr>
      <w:rFonts w:ascii="Times New Roman" w:eastAsiaTheme="majorEastAsia" w:hAnsi="Times New Roman" w:cstheme="majorBidi"/>
      <w:b/>
      <w:bCs/>
      <w:iCs/>
    </w:rPr>
  </w:style>
  <w:style w:type="character" w:customStyle="1" w:styleId="Heading5Char">
    <w:name w:val="Heading 5 Char"/>
    <w:basedOn w:val="DefaultParagraphFont"/>
    <w:link w:val="Heading5"/>
    <w:uiPriority w:val="9"/>
    <w:semiHidden/>
    <w:rsid w:val="002F7C56"/>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2F7C56"/>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2F7C56"/>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2F7C56"/>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2F7C56"/>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1B0FAE"/>
    <w:pPr>
      <w:spacing w:after="80" w:line="240" w:lineRule="auto"/>
      <w:contextualSpacing/>
    </w:pPr>
    <w:rPr>
      <w:rFonts w:asciiTheme="majorHAnsi" w:eastAsiaTheme="majorEastAsia" w:hAnsiTheme="majorHAnsi" w:cstheme="majorBidi"/>
      <w:color w:val="156082" w:themeColor="accent1"/>
      <w:spacing w:val="-10"/>
      <w:kern w:val="28"/>
      <w:sz w:val="36"/>
      <w:szCs w:val="56"/>
    </w:rPr>
  </w:style>
  <w:style w:type="character" w:customStyle="1" w:styleId="TitleChar">
    <w:name w:val="Title Char"/>
    <w:basedOn w:val="DefaultParagraphFont"/>
    <w:link w:val="Title"/>
    <w:uiPriority w:val="10"/>
    <w:rsid w:val="001B0FAE"/>
    <w:rPr>
      <w:rFonts w:asciiTheme="majorHAnsi" w:eastAsiaTheme="majorEastAsia" w:hAnsiTheme="majorHAnsi" w:cstheme="majorBidi"/>
      <w:color w:val="156082" w:themeColor="accent1"/>
      <w:spacing w:val="-10"/>
      <w:kern w:val="28"/>
      <w:sz w:val="36"/>
      <w:szCs w:val="56"/>
      <w14:ligatures w14:val="none"/>
    </w:rPr>
  </w:style>
  <w:style w:type="paragraph" w:styleId="Subtitle">
    <w:name w:val="Subtitle"/>
    <w:basedOn w:val="Normal"/>
    <w:next w:val="Normal"/>
    <w:link w:val="SubtitleChar"/>
    <w:uiPriority w:val="11"/>
    <w:qFormat/>
    <w:rsid w:val="002F7C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C5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F7C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7C56"/>
    <w:rPr>
      <w:rFonts w:ascii="Times New Roman" w:eastAsiaTheme="minorEastAsia" w:hAnsi="Times New Roman"/>
      <w:i/>
      <w:iCs/>
      <w:color w:val="404040" w:themeColor="text1" w:themeTint="BF"/>
      <w:kern w:val="0"/>
      <w:szCs w:val="22"/>
      <w14:ligatures w14:val="none"/>
    </w:rPr>
  </w:style>
  <w:style w:type="paragraph" w:styleId="ListParagraph">
    <w:name w:val="List Paragraph"/>
    <w:basedOn w:val="Normal"/>
    <w:uiPriority w:val="34"/>
    <w:qFormat/>
    <w:rsid w:val="002F7C56"/>
    <w:pPr>
      <w:ind w:left="720"/>
      <w:contextualSpacing/>
    </w:pPr>
  </w:style>
  <w:style w:type="paragraph" w:styleId="IntenseQuote">
    <w:name w:val="Intense Quote"/>
    <w:basedOn w:val="Normal"/>
    <w:next w:val="Normal"/>
    <w:link w:val="IntenseQuoteChar"/>
    <w:uiPriority w:val="30"/>
    <w:qFormat/>
    <w:rsid w:val="002F7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C56"/>
    <w:rPr>
      <w:rFonts w:ascii="Times New Roman" w:eastAsiaTheme="minorEastAsia"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2F7C56"/>
    <w:rPr>
      <w:b/>
      <w:bCs/>
      <w:smallCaps/>
      <w:color w:val="0F4761" w:themeColor="accent1" w:themeShade="BF"/>
      <w:spacing w:val="5"/>
    </w:rPr>
  </w:style>
  <w:style w:type="character" w:styleId="SubtleEmphasis">
    <w:name w:val="Subtle Emphasis"/>
    <w:basedOn w:val="DefaultParagraphFont"/>
    <w:uiPriority w:val="19"/>
    <w:qFormat/>
    <w:rsid w:val="00A1475C"/>
    <w:rPr>
      <w:rFonts w:asciiTheme="minorHAnsi" w:hAnsiTheme="minorHAnsi"/>
      <w:i/>
      <w:iCs/>
      <w:color w:val="595959" w:themeColor="text1" w:themeTint="A6"/>
      <w:sz w:val="22"/>
    </w:rPr>
  </w:style>
  <w:style w:type="paragraph" w:styleId="Header">
    <w:name w:val="header"/>
    <w:basedOn w:val="Normal"/>
    <w:link w:val="HeaderChar"/>
    <w:uiPriority w:val="99"/>
    <w:unhideWhenUsed/>
    <w:rsid w:val="00FC64B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C64BE"/>
    <w:rPr>
      <w:rFonts w:eastAsiaTheme="minorEastAsia"/>
      <w:kern w:val="0"/>
      <w:sz w:val="22"/>
      <w:szCs w:val="22"/>
      <w14:ligatures w14:val="none"/>
    </w:rPr>
  </w:style>
  <w:style w:type="paragraph" w:styleId="Footer">
    <w:name w:val="footer"/>
    <w:basedOn w:val="Normal"/>
    <w:link w:val="FooterChar"/>
    <w:uiPriority w:val="99"/>
    <w:unhideWhenUsed/>
    <w:rsid w:val="00FC64B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C64BE"/>
    <w:rPr>
      <w:rFonts w:eastAsiaTheme="minorEastAsia"/>
      <w:kern w:val="0"/>
      <w:sz w:val="22"/>
      <w:szCs w:val="22"/>
      <w14:ligatures w14:val="none"/>
    </w:rPr>
  </w:style>
  <w:style w:type="paragraph" w:styleId="NoSpacing">
    <w:name w:val="No Spacing"/>
    <w:link w:val="NoSpacingChar"/>
    <w:uiPriority w:val="1"/>
    <w:qFormat/>
    <w:rsid w:val="0074501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4501B"/>
    <w:rPr>
      <w:rFonts w:eastAsiaTheme="minorEastAsia"/>
      <w:kern w:val="0"/>
      <w:sz w:val="22"/>
      <w:szCs w:val="22"/>
      <w14:ligatures w14:val="none"/>
    </w:rPr>
  </w:style>
  <w:style w:type="character" w:styleId="Emphasis">
    <w:name w:val="Emphasis"/>
    <w:basedOn w:val="DefaultParagraphFont"/>
    <w:uiPriority w:val="20"/>
    <w:qFormat/>
    <w:rsid w:val="005D5A6A"/>
    <w:rPr>
      <w:b/>
      <w:i/>
      <w:iCs/>
      <w:color w:val="0A2F41" w:themeColor="accent1" w:themeShade="80"/>
    </w:rPr>
  </w:style>
  <w:style w:type="table" w:styleId="GridTable1Light">
    <w:name w:val="Grid Table 1 Light"/>
    <w:basedOn w:val="TableNormal"/>
    <w:uiPriority w:val="46"/>
    <w:rsid w:val="00D627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225D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msonormal0">
    <w:name w:val="msonormal"/>
    <w:basedOn w:val="Normal"/>
    <w:rsid w:val="00C9658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965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6584"/>
    <w:rPr>
      <w:b/>
      <w:bCs/>
    </w:rPr>
  </w:style>
  <w:style w:type="paragraph" w:styleId="HTMLPreformatted">
    <w:name w:val="HTML Preformatted"/>
    <w:basedOn w:val="Normal"/>
    <w:link w:val="HTMLPreformattedChar"/>
    <w:uiPriority w:val="99"/>
    <w:semiHidden/>
    <w:unhideWhenUsed/>
    <w:rsid w:val="00C965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C9658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96584"/>
    <w:rPr>
      <w:rFonts w:ascii="Courier New" w:eastAsia="Times New Roman" w:hAnsi="Courier New" w:cs="Courier New"/>
      <w:sz w:val="20"/>
      <w:szCs w:val="20"/>
    </w:rPr>
  </w:style>
  <w:style w:type="table" w:styleId="GridTable1Light-Accent4">
    <w:name w:val="Grid Table 1 Light Accent 4"/>
    <w:basedOn w:val="TableNormal"/>
    <w:uiPriority w:val="46"/>
    <w:rsid w:val="0066110A"/>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72EF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3501</Words>
  <Characters>19958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Syam Adusumilli</dc:creator>
  <cp:keywords/>
  <cp:lastModifiedBy>Syam Adusumilli</cp:lastModifiedBy>
  <cp:revision>2</cp:revision>
  <dcterms:created xsi:type="dcterms:W3CDTF">2026-02-05T13:32:00Z</dcterms:created>
  <dcterms:modified xsi:type="dcterms:W3CDTF">2026-02-05T13:32:00Z</dcterms:modified>
</cp:coreProperties>
</file>