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Software Quality Assurance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SE ZG501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3</w:t>
            </w:r>
          </w:p>
        </w:tc>
      </w:tr>
      <w:tr>
        <w:tc>
          <w:p>
            <w:r>
              <w:t xml:space="preserve">Instructor(s)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Course Author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Version No.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Foundations of software quality assurance.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SQA principles</w:t>
            </w:r>
          </w:p>
        </w:tc>
      </w:tr>
      <w:tr>
        <w:tc>
          <w:p>
            <w:r>
              <w:t xml:space="preserve">CO2</w:t>
            </w:r>
          </w:p>
        </w:tc>
        <w:tc>
          <w:p>
            <w:r>
              <w:t xml:space="preserve">Apply test design techniques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Pressman, Software Engineering, 8th ed.</w:t>
            </w:r>
          </w:p>
        </w:tc>
      </w:tr>
    </w:tbl>
    <w:p>
      <w:r>
        <w:t xml:space="preserve">Reference Book(s) &amp; other resources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R1</w:t>
            </w:r>
          </w:p>
        </w:tc>
        <w:tc>
          <w:p>
            <w:r>
              <w:t xml:space="preserve">Beizer, Software Testing Techniques.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Design test plans</w:t>
            </w:r>
          </w:p>
        </w:tc>
      </w:tr>
      <w:tr>
        <w:tc>
          <w:p>
            <w:r>
              <w:t xml:space="preserve">LO2</w:t>
            </w:r>
          </w:p>
        </w:tc>
        <w:tc>
          <w:p>
            <w:r>
              <w:t xml:space="preserve">Run quality reviews</w:t>
            </w:r>
          </w:p>
        </w:tc>
      </w:tr>
    </w:tbl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Introduction to SQA</w:t>
            </w:r>
          </w:p>
        </w:tc>
        <w:tc>
          <w:p>
            <w:r>
              <w:t xml:space="preserve">History; Standards</w:t>
            </w:r>
          </w:p>
        </w:tc>
        <w:tc>
          <w:p>
            <w:r>
              <w:t xml:space="preserve">T1 Ch. 1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Test design</w:t>
            </w:r>
          </w:p>
        </w:tc>
        <w:tc>
          <w:p>
            <w:r>
              <w:t xml:space="preserve">Equivalence partitioning; Boundary value</w:t>
            </w:r>
          </w:p>
        </w:tc>
        <w:tc>
          <w:p>
            <w:r>
              <w:t xml:space="preserve">T1 Ch. 5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Quiz</w:t>
            </w:r>
          </w:p>
        </w:tc>
        <w:tc>
          <w:p>
            <w:r>
              <w:t xml:space="preserve">Online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30m</w:t>
            </w:r>
          </w:p>
        </w:tc>
      </w:tr>
      <w:tr>
        <w:tc>
          <w:p>
            <w:r>
              <w:t xml:space="preserve">EC-2</w:t>
            </w:r>
          </w:p>
        </w:tc>
        <w:tc>
          <w:p>
            <w:r>
              <w:t xml:space="preserve">Mid-Sem</w:t>
            </w:r>
          </w:p>
        </w:tc>
        <w:tc>
          <w:p>
            <w:r>
              <w:t xml:space="preserve">Closed Book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90m</w:t>
            </w:r>
          </w:p>
        </w:tc>
      </w:tr>
      <w:tr>
        <w:tc>
          <w:p>
            <w:r>
              <w:t xml:space="preserve">EC-3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50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Important Links</w:t>
      </w:r>
    </w:p>
    <w:p>
      <w:r>
        <w:t xml:space="preserve">elearn.bits-pilani.ac.in</w:t>
      </w:r>
    </w:p>
    <w:p>
      <w:r>
        <w:t xml:space="preserve">Evaluation Guidelines</w:t>
      </w:r>
    </w:p>
    <w:p>
      <w:r>
        <w:t xml:space="preserve">Make-up policy per student handbook.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F1 standard</dc:title>
  <dc:creator>HMP Corpus Fixture Generator</dc:creator>
  <cp:lastModifiedBy>Un-named</cp:lastModifiedBy>
  <cp:revision>1</cp:revision>
  <dcterms:created xsi:type="dcterms:W3CDTF">2026-06-04T06:51:46.440Z</dcterms:created>
  <dcterms:modified xsi:type="dcterms:W3CDTF">2026-06-04T06:51:46.442Z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