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Documentation of Current Model and Features used , and results obtained for Stochastic Model </w:t>
        <w:br w:type="textWrapping"/>
        <w:br w:type="textWrapping"/>
        <w:t xml:space="preserve">1) Create model using features: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indicator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average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2) Moving Average Indicator.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signal for uptrend (price above ma50)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Stochastic Indicator.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"H14" column in the DataFrame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"%K" column in the DataFrame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"%D" column in the DataFrame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buy is initiated when the %K line crosses up through the %D line and the value of the oscillator is below 35. This is called OVERSOLD.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buy is also initiated when intercept with uptrend signal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sell is initiated when the %K line crosses down through the %D line and the value of the oscillator is above 85 .This is called OVERBOUGHT.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highlight w:val="white"/>
          <w:rtl w:val="0"/>
        </w:rPr>
        <w:t xml:space="preserve">The most significant level for semiconductor sector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bottom w:color="auto" w:space="12" w:sz="0" w:val="none"/>
        </w:pBdr>
        <w:shd w:fill="ffffff" w:val="clear"/>
        <w:spacing w:line="335.9999999999999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Overbought = 80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bottom w:color="auto" w:space="12" w:sz="0" w:val="none"/>
        </w:pBdr>
        <w:shd w:fill="ffffff" w:val="clear"/>
        <w:spacing w:line="335.99999999999994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Oversold =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5) Strategy for combination of Stochastic and Moving average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 all buy entry,between the period gap of the nearest sold entry.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48125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 transaction buy price for close, open, high, low, date and volume when oversold.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 transaction sell price for close and date when overbought.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record buy and sell to create column percentage change and winning rate.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6) Loop this strategy for semiconductor sector and combine all into csv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7) Separate input features(close, open, high, low, volume,name of stock) and target(winning rate)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/>
      </w:pPr>
      <w:bookmarkStart w:colFirst="0" w:colLast="0" w:name="_bddct0cf72z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8) Use Resampling Techniques(Oversample minority class) to solve problem of imbalance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9) Train test split follow sequence(test_size=0.40, shuffle=False).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10) Trying logistic regression again dataset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11) Classification report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training score: 0.50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score: 0.24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="240" w:lineRule="auto"/>
        <w:rPr>
          <w:color w:val="000000"/>
          <w:sz w:val="22"/>
          <w:szCs w:val="22"/>
        </w:rPr>
      </w:pPr>
      <w:bookmarkStart w:colFirst="0" w:colLast="0" w:name="_rceznv7m6ip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