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65"/>
        <w:gridCol w:w="7965"/>
      </w:tblGrid>
      <w:tr>
        <w:trPr>
          <w:trHeight w:val="907" w:hRule="atLeast"/>
        </w:trPr>
        <w:tc>
          <w:tcPr>
            <w:tcW w:type="dxa" w:w="10205"/>
            <w:shd w:val="clear" w:color="auto" w:fill="111827"/>
            <w:vAlign w:val="center"/>
            <w:tcMar>
              <w:top w:w="60" w:type="dxa"/>
              <w:start w:w="160" w:type="dxa"/>
              <w:bottom w:w="60" w:type="dxa"/>
              <w:end w:w="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44"/>
              </w:rPr>
              <w:t>QM Pulse</w:t>
            </w:r>
          </w:p>
          <w:p>
            <w:r>
              <w:rPr>
                <w:rFonts w:ascii="Calibri" w:hAnsi="Calibri"/>
                <w:color w:val="CBD5E1"/>
                <w:sz w:val="22"/>
              </w:rPr>
              <w:t>Executive Summary on QM Pulse</w:t>
            </w:r>
          </w:p>
        </w:tc>
        <w:tc>
          <w:tcPr>
            <w:tcW w:type="dxa" w:w="5726"/>
            <w:shd w:val="clear" w:color="auto" w:fill="111827"/>
            <w:vAlign w:val="center"/>
            <w:tcMar>
              <w:top w:w="60" w:type="dxa"/>
              <w:start w:w="80" w:type="dxa"/>
              <w:bottom w:w="60" w:type="dxa"/>
              <w:end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22"/>
              </w:rPr>
              <w:t>Presented to Leadership — 27 August 2026</w:t>
            </w:r>
          </w:p>
          <w:p>
            <w:pPr>
              <w:jc w:val="right"/>
            </w:pPr>
            <w:r>
              <w:rPr>
                <w:rFonts w:ascii="Calibri" w:hAnsi="Calibri"/>
                <w:color w:val="CBD5E1"/>
                <w:sz w:val="18"/>
              </w:rPr>
              <w:t>Prepared for: Datuk Ismail Bin Mohd Noor  |  Status: Pilot-ready, pending production go-live inputs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rPr>
          <w:trHeight w:val="4479" w:hRule="atLeast"/>
        </w:trPr>
        <w:tc>
          <w:tcPr>
            <w:tcW w:type="dxa" w:w="5272"/>
            <w:shd w:val="clear" w:color="auto" w:fill="EEF2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Calibri" w:hAnsi="Calibri"/>
                <w:b/>
                <w:color w:val="4F46E5"/>
                <w:sz w:val="22"/>
              </w:rPr>
              <w:t>THE ESSENCE OF THE IDEA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One living heartbeat connecting requirements, dev, QA and leadership — a governance layer on top of what we already use, not another silo.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Replaces spreadsheet chaos and endless email chains with a single source of truth.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Built on our existing Redmine investment — zero migration, zero retraining.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Every requirement, test and defect is traceable from day one to go-live.</w:t>
            </w:r>
          </w:p>
        </w:tc>
        <w:tc>
          <w:tcPr>
            <w:tcW w:type="dxa" w:w="5272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Calibri" w:hAnsi="Calibri"/>
                <w:b/>
                <w:color w:val="0369A1"/>
                <w:sz w:val="22"/>
              </w:rPr>
              <w:t>SYSTEM SUMMARY — WHAT QM PULSE IS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QA management &amp; delivery governance platform: requirements, test case library, execution tracking, defect creation and PMO reporting in one place.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8-stage governed lifecycle: Plan → Spec → Peer-Approve → Build → Author Tests → Execute → Track &amp; Close → UAT / Go-Live.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AI Hub (Google GenAI) flags weak requirements early and auto-generates test cases.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Enterprise-ready: role-based access, JWT auth, full audit trail, PostgreSQL backend.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One-click PMO verdict report — signed PDF + Excel (Pareto/CAPA) in under 60 seconds.</w:t>
            </w:r>
          </w:p>
        </w:tc>
        <w:tc>
          <w:tcPr>
            <w:tcW w:type="dxa" w:w="5272"/>
            <w:shd w:val="clear" w:color="auto" w:fill="FEF2F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Calibri" w:hAnsi="Calibri"/>
                <w:b/>
                <w:color w:val="B91C1C"/>
                <w:sz w:val="22"/>
              </w:rPr>
              <w:t>THE PROBLEM — PAIN POINTS TODAY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Test cases scattered across spreadsheets — no shared library, no version control.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Writing test cases from requirements is fully manual, one by one.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Automated test runs have no path into an execution record — results retyped by hand.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Defects re-typed manually between spreadsheets and Redmine — often duplicated.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No requirement → test → defect traceability without a manual spreadsheet audit.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Quality trend and schedule health require manual detective work by PMO.</w:t>
            </w:r>
          </w:p>
        </w:tc>
      </w:tr>
      <w:tr>
        <w:trPr>
          <w:trHeight w:val="4479" w:hRule="atLeast"/>
        </w:trPr>
        <w:tc>
          <w:tcPr>
            <w:tcW w:type="dxa" w:w="5272"/>
            <w:shd w:val="clear" w:color="auto" w:fill="ECFDF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Calibri" w:hAnsi="Calibri"/>
                <w:b/>
                <w:color w:val="047857"/>
                <w:sz w:val="22"/>
              </w:rPr>
              <w:t>PROPOSED SOLUTION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Single system of record for requirements, tests, execution, defects and reports.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Native two-way Redmine sync — no disruption to how teams already work.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AI-assisted requirement review and test case generation — ~40% faster test design.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Auto-creates defects on test failure, linked back to Redmine as child issues.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Segregation of duties built in — no one signs off their own work.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One click produces the executive verdict report — no more manual Excel merging.</w:t>
            </w:r>
          </w:p>
        </w:tc>
        <w:tc>
          <w:tcPr>
            <w:tcW w:type="dxa" w:w="5272"/>
            <w:shd w:val="clear" w:color="auto" w:fill="F5F3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Calibri" w:hAnsi="Calibri"/>
                <w:b/>
                <w:color w:val="6D28D9"/>
                <w:sz w:val="22"/>
              </w:rPr>
              <w:t>IMMEDIATE ACTION PLANNED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Now: executive approval to begin a 2-week pilot on 2 flagship projects.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Weeks 1–2: Pilot — validate Redmine API sync and role/permission setup.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Weeks 3–4: Enable PMO, FA, Dev and QA leads; switch on the AI Requirement Analyzer.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Month 2: Enterprise-wide rollout; standardize automated PMO verdict delivery.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Month 3+: Predictive analytics and continuous lessons-learned reviews.</w:t>
            </w:r>
          </w:p>
        </w:tc>
        <w:tc>
          <w:tcPr>
            <w:tcW w:type="dxa" w:w="5272"/>
            <w:shd w:val="clear" w:color="auto" w:fill="FFFBEB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100"/>
            </w:pPr>
            <w:r>
              <w:rPr>
                <w:rFonts w:ascii="Calibri" w:hAnsi="Calibri"/>
                <w:b/>
                <w:color w:val="B45309"/>
                <w:sz w:val="22"/>
              </w:rPr>
              <w:t>STILL NEEDED BEFORE PRODUCTION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Domain: a production URL/hostname to host QM Pulse — currently runs on a default Replit domain, not a proper custom domain.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Database: a provisioned production PostgreSQL instance, isolated from dev/test data.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AI API Key: a budgeted OpenRouter API key — about US$100 every 3 months — to run AI-assisted requirement analysis and test generation.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SSO: Microsoft Office (Entra ID) single sign-on, so Bestinet users log in with the credentials they already use.</w:t>
            </w:r>
          </w:p>
          <w:p>
            <w:pPr>
              <w:spacing w:after="60" w:line="252" w:lineRule="auto"/>
              <w:ind w:left="200" w:hanging="200"/>
            </w:pPr>
            <w:r>
              <w:rPr>
                <w:rFonts w:ascii="Calibri" w:hAnsi="Calibri"/>
                <w:color w:val="334155"/>
                <w:sz w:val="18"/>
              </w:rPr>
              <w:t>•  These four items are the only blockers between the working pilot build and a live production rollout.</w:t>
            </w:r>
          </w:p>
        </w:tc>
      </w:tr>
    </w:tbl>
    <w:p>
      <w:pPr>
        <w:spacing w:before="80"/>
      </w:pPr>
      <w:r>
        <w:rPr>
          <w:rFonts w:ascii="Calibri" w:hAnsi="Calibri"/>
          <w:color w:val="6B7280"/>
          <w:sz w:val="15"/>
        </w:rPr>
        <w:t>QM Pulse Executive Summary — Internal / Confidential — For leadership review    |    Source: QMPulse Executive Presentation &amp; ROI Review, 27 Aug 2026</w:t>
      </w:r>
    </w:p>
    <w:sectPr w:rsidR="00FC693F" w:rsidRPr="0006063C" w:rsidSect="00034616">
      <w:pgSz w:w="16838" w:h="11906" w:orient="landscape"/>
      <w:pgMar w:top="340" w:right="454" w:bottom="283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