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44"/>
          <w:szCs w:val="44"/>
        </w:rPr>
        <w:t xml:space="preserve">HNC-Benchmark 项目拓展研究报告</w:t>
      </w:r>
    </w:p>
    <w:p>
      <w:pPr>
        <w:spacing w:before="80" w:after="80"/>
      </w:pPr>
      <w:r>
        <w:rPr>
          <w:rFonts w:ascii="Arial" w:cs="Arial" w:eastAsia="Arial" w:hAnsi="Arial"/>
          <w:color w:val="2E75B6"/>
          <w:sz w:val="28"/>
          <w:szCs w:val="28"/>
        </w:rPr>
        <w:t xml:space="preserve">SEER 数据集整合可行性分析 与 CancerGUIDE 竞品对比研究</w:t>
      </w:r>
    </w:p>
    <w:p>
      <w:pPr>
        <w:spacing w:before="160" w:after="80"/>
      </w:pPr>
      <w:r>
        <w:rPr>
          <w:rFonts w:ascii="Arial" w:cs="Arial" w:eastAsia="Arial" w:hAnsi="Arial"/>
          <w:color w:val="888888"/>
          <w:sz w:val="20"/>
          <w:szCs w:val="20"/>
        </w:rPr>
        <w:t xml:space="preserve">版本 1.0  |  2026年4月</w:t>
      </w:r>
    </w:p>
    <w:p>
      <w:pPr>
        <w:pBdr>
          <w:bottom w:val="single" w:color="BDD7EE" w:sz="4" w:space="1"/>
        </w:pBdr>
        <w:spacing w:before="120" w:after="120"/>
      </w:pPr>
    </w:p>
    <w:p>
      <w:pPr>
        <w:spacing w:before="120" w:after="0"/>
      </w:pPr>
    </w:p>
    <w:p>
      <w:pPr>
        <w:pStyle w:val="Heading1"/>
        <w:spacing w:before="360" w:after="160"/>
      </w:pPr>
      <w:r>
        <w:rPr>
          <w:rFonts w:ascii="Arial" w:cs="Arial" w:eastAsia="Arial" w:hAnsi="Arial"/>
          <w:b/>
          <w:bCs/>
          <w:color w:val="1F4E79"/>
          <w:sz w:val="32"/>
          <w:szCs w:val="32"/>
        </w:rPr>
        <w:t xml:space="preserve">第一部分  SEER 数据集整合可行性分析</w:t>
      </w:r>
    </w:p>
    <w:p>
      <w:pPr>
        <w:spacing w:before="60" w:after="0"/>
      </w:pPr>
    </w:p>
    <w:p>
      <w:pPr>
        <w:pStyle w:val="Heading2"/>
        <w:spacing w:before="280" w:after="120"/>
      </w:pPr>
      <w:r>
        <w:rPr>
          <w:rFonts w:ascii="Arial" w:cs="Arial" w:eastAsia="Arial" w:hAnsi="Arial"/>
          <w:b/>
          <w:bCs/>
          <w:color w:val="2E75B6"/>
          <w:sz w:val="26"/>
          <w:szCs w:val="26"/>
        </w:rPr>
        <w:t xml:space="preserve">1.1  背景与核心问题</w:t>
      </w:r>
    </w:p>
    <w:p>
      <w:pPr>
        <w:spacing w:before="80" w:after="80"/>
      </w:pPr>
      <w:r>
        <w:rPr>
          <w:rFonts w:ascii="Arial" w:cs="Arial" w:eastAsia="Arial" w:hAnsi="Arial"/>
          <w:sz w:val="22"/>
          <w:szCs w:val="22"/>
        </w:rPr>
        <w:t xml:space="preserve">在现有 HNC-Benchmark（基于 Hancock 数据集）的基础上，本部分系统回答以下三个核心问题：</w:t>
      </w:r>
    </w:p>
    <w:p>
      <w:pPr>
        <w:pStyle w:val="ListParagraph"/>
        <w:numPr>
          <w:ilvl w:val="0"/>
          <w:numId w:val="2"/>
        </w:numPr>
        <w:spacing w:before="40" w:after="40"/>
      </w:pPr>
      <w:r>
        <w:rPr>
          <w:rFonts w:ascii="Arial" w:cs="Arial" w:eastAsia="Arial" w:hAnsi="Arial"/>
          <w:b w:val="false"/>
          <w:bCs w:val="false"/>
          <w:sz w:val="22"/>
          <w:szCs w:val="22"/>
        </w:rPr>
        <w:t xml:space="preserve">SEER 数据是否可以在 NCCN 指南的闭环诊疗流程的每一个决策节点提供支撑？</w:t>
      </w:r>
    </w:p>
    <w:p>
      <w:pPr>
        <w:pStyle w:val="ListParagraph"/>
        <w:numPr>
          <w:ilvl w:val="0"/>
          <w:numId w:val="2"/>
        </w:numPr>
        <w:spacing w:before="40" w:after="40"/>
      </w:pPr>
      <w:r>
        <w:rPr>
          <w:rFonts w:ascii="Arial" w:cs="Arial" w:eastAsia="Arial" w:hAnsi="Arial"/>
          <w:b w:val="false"/>
          <w:bCs w:val="false"/>
          <w:sz w:val="22"/>
          <w:szCs w:val="22"/>
        </w:rPr>
        <w:t xml:space="preserve">如何将 SEER 与现有 Hancock 数据集对齐，构成统一的评测框架？</w:t>
      </w:r>
    </w:p>
    <w:p>
      <w:pPr>
        <w:pStyle w:val="ListParagraph"/>
        <w:numPr>
          <w:ilvl w:val="0"/>
          <w:numId w:val="2"/>
        </w:numPr>
        <w:spacing w:before="40" w:after="40"/>
      </w:pPr>
      <w:r>
        <w:rPr>
          <w:rFonts w:ascii="Arial" w:cs="Arial" w:eastAsia="Arial" w:hAnsi="Arial"/>
          <w:b w:val="false"/>
          <w:bCs w:val="false"/>
          <w:sz w:val="22"/>
          <w:szCs w:val="22"/>
        </w:rPr>
        <w:t xml:space="preserve">引入新癌种后，是否需要为 NCCN 新分支重新设计 Task 和评分体系？</w:t>
      </w:r>
    </w:p>
    <w:p>
      <w:pPr>
        <w:spacing w:before="80" w:after="0"/>
      </w:pPr>
    </w:p>
    <w:p>
      <w:pPr>
        <w:pStyle w:val="Heading2"/>
        <w:spacing w:before="280" w:after="120"/>
      </w:pPr>
      <w:r>
        <w:rPr>
          <w:rFonts w:ascii="Arial" w:cs="Arial" w:eastAsia="Arial" w:hAnsi="Arial"/>
          <w:b/>
          <w:bCs/>
          <w:color w:val="2E75B6"/>
          <w:sz w:val="26"/>
          <w:szCs w:val="26"/>
        </w:rPr>
        <w:t xml:space="preserve">1.2  SEER 数据结构与字段完整性</w:t>
      </w:r>
    </w:p>
    <w:p>
      <w:pPr>
        <w:spacing w:before="80" w:after="80"/>
      </w:pPr>
      <w:r>
        <w:rPr>
          <w:rFonts w:ascii="Arial" w:cs="Arial" w:eastAsia="Arial" w:hAnsi="Arial"/>
          <w:sz w:val="22"/>
          <w:szCs w:val="22"/>
        </w:rPr>
        <w:t xml:space="preserve">SEER（Surveillance, Epidemiology, and End Results）是 NCI 维护的美国癌症登记数据库，其核心特点是：</w:t>
      </w:r>
    </w:p>
    <w:p>
      <w:pPr>
        <w:pStyle w:val="ListParagraph"/>
        <w:numPr>
          <w:ilvl w:val="0"/>
          <w:numId w:val="2"/>
        </w:numPr>
        <w:spacing w:before="40" w:after="40"/>
      </w:pPr>
      <w:r>
        <w:rPr>
          <w:rFonts w:ascii="Arial" w:cs="Arial" w:eastAsia="Arial" w:hAnsi="Arial"/>
          <w:b w:val="false"/>
          <w:bCs w:val="false"/>
          <w:sz w:val="22"/>
          <w:szCs w:val="22"/>
        </w:rPr>
        <w:t xml:space="preserve">纯结构化编码数据：无自由文本（无手术报告、无病史叙述、无影像描述）</w:t>
      </w:r>
    </w:p>
    <w:p>
      <w:pPr>
        <w:pStyle w:val="ListParagraph"/>
        <w:numPr>
          <w:ilvl w:val="0"/>
          <w:numId w:val="2"/>
        </w:numPr>
        <w:spacing w:before="40" w:after="40"/>
      </w:pPr>
      <w:r>
        <w:rPr>
          <w:rFonts w:ascii="Arial" w:cs="Arial" w:eastAsia="Arial" w:hAnsi="Arial"/>
          <w:b w:val="false"/>
          <w:bCs w:val="false"/>
          <w:sz w:val="22"/>
          <w:szCs w:val="22"/>
        </w:rPr>
        <w:t xml:space="preserve">字段标准化程度极高：TNM 分期、手术类型、放化疗状态均为标准编码</w:t>
      </w:r>
    </w:p>
    <w:p>
      <w:pPr>
        <w:pStyle w:val="ListParagraph"/>
        <w:numPr>
          <w:ilvl w:val="0"/>
          <w:numId w:val="2"/>
        </w:numPr>
        <w:spacing w:before="40" w:after="40"/>
      </w:pPr>
      <w:r>
        <w:rPr>
          <w:rFonts w:ascii="Arial" w:cs="Arial" w:eastAsia="Arial" w:hAnsi="Arial"/>
          <w:b w:val="false"/>
          <w:bCs w:val="false"/>
          <w:sz w:val="22"/>
          <w:szCs w:val="22"/>
        </w:rPr>
        <w:t xml:space="preserve">治疗记录完整：手术（RX Summ-Surg）、放疗（Radiation）、化疗（Chemo）均有记录</w:t>
      </w:r>
    </w:p>
    <w:p>
      <w:pPr>
        <w:pStyle w:val="ListParagraph"/>
        <w:numPr>
          <w:ilvl w:val="0"/>
          <w:numId w:val="2"/>
        </w:numPr>
        <w:spacing w:before="40" w:after="40"/>
      </w:pPr>
      <w:r>
        <w:rPr>
          <w:rFonts w:ascii="Arial" w:cs="Arial" w:eastAsia="Arial" w:hAnsi="Arial"/>
          <w:b w:val="false"/>
          <w:bCs w:val="false"/>
          <w:sz w:val="22"/>
          <w:szCs w:val="22"/>
        </w:rPr>
        <w:t xml:space="preserve">规模庞大：乳腺癌等主要癌种可达数十万例</w:t>
      </w:r>
    </w:p>
    <w:p>
      <w:pPr>
        <w:spacing w:before="80" w:after="0"/>
      </w:pPr>
    </w:p>
    <w:p>
      <w:pPr>
        <w:spacing w:before="80" w:after="80"/>
      </w:pPr>
      <w:r>
        <w:rPr>
          <w:rFonts w:ascii="Arial" w:cs="Arial" w:eastAsia="Arial" w:hAnsi="Arial"/>
          <w:sz w:val="22"/>
          <w:szCs w:val="22"/>
        </w:rPr>
        <w:t xml:space="preserve">下表列出 SEER 核心字段与本 Benchmark 已定义字段的映射关系：</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SEER 原始字段</w:t>
            </w:r>
          </w:p>
        </w:tc>
        <w:tc>
          <w:tcPr>
            <w:tcW w:type="dxa" w:w="3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Benchmark 对应字段</w:t>
            </w:r>
          </w:p>
        </w:tc>
        <w:tc>
          <w:tcPr>
            <w:tcW w:type="dxa" w:w="356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Primary Site</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primary_tumor_site</w:t>
            </w:r>
          </w:p>
        </w:tc>
        <w:tc>
          <w:tcPr>
            <w:tcW w:type="dxa" w:w="3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原发肿瘤部位，与 ICD-O-3 编码对应</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Derived AJCC T / N / M</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cT_stage / cN_stage / M_stage</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AJCC 分期字段，直接用于 Step 1 GT</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ER / PR / HER2 Status</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er_status / pr_status / her2_status</w:t>
            </w:r>
          </w:p>
        </w:tc>
        <w:tc>
          <w:tcPr>
            <w:tcW w:type="dxa" w:w="3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乳腺癌生物标志物，2010年后字段完整</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RX Summ-Surg Prim Site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surgery_type（手术类型编码）</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是否手术及手术方式，对应 Step 2 GT</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RX Summ-Radiation</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adjuvant_radiotherapy_y_n</w:t>
            </w:r>
          </w:p>
        </w:tc>
        <w:tc>
          <w:tcPr>
            <w:tcW w:type="dxa" w:w="3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辅助放疗是否执行，对应 Step 5 GT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RX Summ-Chemo</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adjuvant_systemic_therapy_y_n</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辅助化疗是否执行，对应 Step 5 GT</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Tumor Size</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tumor_size_mm</w:t>
            </w:r>
          </w:p>
        </w:tc>
        <w:tc>
          <w:tcPr>
            <w:tcW w:type="dxa" w:w="3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肿瘤大小（毫米），用于 T 分期推导</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Regional Nodes Positive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number_of_positive_lymph_nodes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阳性淋巴结数，对应 Step 3 结构化字段</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Regional Nodes Examined</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number_of_resected_lymph_nodes</w:t>
            </w:r>
          </w:p>
        </w:tc>
        <w:tc>
          <w:tcPr>
            <w:tcW w:type="dxa" w:w="3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切除淋巴结总数，对应 Step 3 结构化字段</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Histologic Type ICD-O</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histologic_type</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组织学类型编码，对应 Step 3/4 字段</w:t>
            </w:r>
          </w:p>
        </w:tc>
      </w:tr>
    </w:tbl>
    <w:p>
      <w:pPr>
        <w:spacing w:before="100" w:after="0"/>
      </w:pPr>
    </w:p>
    <w:p>
      <w:pPr>
        <w:pStyle w:val="Heading2"/>
        <w:spacing w:before="280" w:after="120"/>
      </w:pPr>
      <w:r>
        <w:rPr>
          <w:rFonts w:ascii="Arial" w:cs="Arial" w:eastAsia="Arial" w:hAnsi="Arial"/>
          <w:b/>
          <w:bCs/>
          <w:color w:val="2E75B6"/>
          <w:sz w:val="26"/>
          <w:szCs w:val="26"/>
        </w:rPr>
        <w:t xml:space="preserve">1.3  SEER 在 NCCN 闭环各节点的支撑能力</w:t>
      </w:r>
    </w:p>
    <w:p>
      <w:pPr>
        <w:spacing w:before="80" w:after="80"/>
      </w:pPr>
      <w:r>
        <w:rPr>
          <w:rFonts w:ascii="Arial" w:cs="Arial" w:eastAsia="Arial" w:hAnsi="Arial"/>
          <w:sz w:val="22"/>
          <w:szCs w:val="22"/>
        </w:rPr>
        <w:t xml:space="preserve">依照本 Benchmark 的五步闭环框架，逐步分析 SEER 数据在每个决策节点的支撑能力：</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500"/>
        <w:gridCol w:w="1400"/>
        <w:gridCol w:w="2160"/>
      </w:tblGrid>
      <w:tr>
        <w:tc>
          <w:tcPr>
            <w:tcW w:type="dxa" w:w="1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步骤</w:t>
            </w:r>
          </w:p>
        </w:tc>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2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SEER 可提供字段</w:t>
            </w:r>
          </w:p>
        </w:tc>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支撑能力</w:t>
            </w:r>
          </w:p>
        </w:tc>
        <w:tc>
          <w:tcPr>
            <w:tcW w:type="dxa" w:w="216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1
Workup→分期</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患者基本信息 + 临床分期推导</w:t>
            </w:r>
          </w:p>
        </w:tc>
        <w:tc>
          <w:tcPr>
            <w:tcW w:type="dxa" w:w="2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TNM 分期、肿瘤大小、淋巴结数、年龄、性别</w:t>
            </w:r>
          </w:p>
        </w:tc>
        <w:tc>
          <w:tcPr>
            <w:tcW w:type="dxa" w:w="1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完整</w:t>
            </w:r>
          </w:p>
        </w:tc>
        <w:tc>
          <w:tcPr>
            <w:tcW w:type="dxa" w:w="2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缺乏 describe_focus，需用规则合成影像学描述文本</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2
NCCN路径</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定位指南节点 + 推荐初始治疗方案</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pT × pN × M × 生物标志物（乳腺癌）</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1A7A4A"/>
                <w:sz w:val="20"/>
                <w:szCs w:val="20"/>
              </w:rPr>
              <w:t xml:space="preserve">✅ 完整</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规则引擎可直接从分期+生物标志物自动生成节点 GT</w:t>
            </w:r>
          </w:p>
        </w:tc>
      </w:tr>
      <w:tr>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3
手术报告</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从非结构化文本提取初步病理特征</w:t>
            </w:r>
          </w:p>
        </w:tc>
        <w:tc>
          <w:tcPr>
            <w:tcW w:type="dxa" w:w="2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手术类型编码（无原文手术报告）</w:t>
            </w:r>
          </w:p>
        </w:tc>
        <w:tc>
          <w:tcPr>
            <w:tcW w:type="dxa" w:w="1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C47C00"/>
                <w:sz w:val="20"/>
                <w:szCs w:val="20"/>
              </w:rPr>
              <w:t xml:space="preserve">⚠️ 部分</w:t>
            </w:r>
          </w:p>
        </w:tc>
        <w:tc>
          <w:tcPr>
            <w:tcW w:type="dxa" w:w="2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SEER 无手术报告文本，Step 3 的 NLP 信息提取任务无法执行</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4
WSI 多模态</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从病理图像更新微观病理特征</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无图像数据</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B83232"/>
                <w:sz w:val="20"/>
                <w:szCs w:val="20"/>
              </w:rPr>
              <w:t xml:space="preserve">❌ 不支持</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SEER 不含病理图像，Step 4 完全不适用于 SEER 数据</w:t>
            </w:r>
          </w:p>
        </w:tc>
      </w:tr>
      <w:tr>
        <w:tc>
          <w:tcPr>
            <w:tcW w:type="dxa" w:w="13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5
辅助治疗</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辅助治疗方案决策 + 指南符合性判断</w:t>
            </w:r>
          </w:p>
        </w:tc>
        <w:tc>
          <w:tcPr>
            <w:tcW w:type="dxa" w:w="2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放疗 y/n、化疗 y/n、靶向治疗，实际治疗记录完整</w:t>
            </w:r>
          </w:p>
        </w:tc>
        <w:tc>
          <w:tcPr>
            <w:tcW w:type="dxa" w:w="1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完整</w:t>
            </w:r>
          </w:p>
        </w:tc>
        <w:tc>
          <w:tcPr>
            <w:tcW w:type="dxa" w:w="2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独有能力：可评估指南符合性（实际治疗 vs 指南推荐 对比）</w:t>
            </w:r>
          </w:p>
        </w:tc>
      </w:tr>
    </w:tbl>
    <w:p>
      <w:pPr>
        <w:spacing w:before="100" w:after="0"/>
      </w:pPr>
    </w:p>
    <w:p>
      <w:pPr>
        <w:pStyle w:val="Heading2"/>
        <w:spacing w:before="280" w:after="120"/>
      </w:pPr>
      <w:r>
        <w:rPr>
          <w:rFonts w:ascii="Arial" w:cs="Arial" w:eastAsia="Arial" w:hAnsi="Arial"/>
          <w:b/>
          <w:bCs/>
          <w:color w:val="2E75B6"/>
          <w:sz w:val="26"/>
          <w:szCs w:val="26"/>
        </w:rPr>
        <w:t xml:space="preserve">1.4  整合策略：SEER 轨道（Track C）设计</w:t>
      </w:r>
    </w:p>
    <w:p>
      <w:pPr>
        <w:spacing w:before="80" w:after="80"/>
      </w:pPr>
      <w:r>
        <w:rPr>
          <w:rFonts w:ascii="Arial" w:cs="Arial" w:eastAsia="Arial" w:hAnsi="Arial"/>
          <w:sz w:val="22"/>
          <w:szCs w:val="22"/>
        </w:rPr>
        <w:t xml:space="preserve">鉴于 SEER 无法支撑 Step 3（NLP 文本提取）和 Step 4（WSI 多模态），推荐将 SEER 设计为一个独立的轻量级指南推理轨道，与现有 Hancock 轨道并列而非替代：</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2800"/>
      </w:tblGrid>
      <w:tr>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轨道</w:t>
            </w:r>
          </w:p>
        </w:tc>
        <w:tc>
          <w:tcPr>
            <w:tcW w:type="dxa" w:w="2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数据来源</w:t>
            </w:r>
          </w:p>
        </w:tc>
        <w:tc>
          <w:tcPr>
            <w:tcW w:type="dxa" w:w="216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步骤覆盖</w:t>
            </w:r>
          </w:p>
        </w:tc>
        <w:tc>
          <w:tcPr>
            <w:tcW w:type="dxa" w:w="2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核心贡献</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sz w:val="20"/>
                <w:szCs w:val="20"/>
              </w:rPr>
              <w:t xml:space="preserve">Track A</w:t>
            </w:r>
            <w:r>
              <w:rPr>
                <w:rFonts w:ascii="Arial" w:cs="Arial" w:eastAsia="Arial" w:hAnsi="Arial"/>
                <w:sz w:val="20"/>
                <w:szCs w:val="20"/>
              </w:rPr>
              <w:t xml:space="preserve">
HNC-Multimodal</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Hancock（763例）
CC BY 4.0 公开</w:t>
            </w:r>
          </w:p>
        </w:tc>
        <w:tc>
          <w:tcPr>
            <w:tcW w:type="dxa" w:w="2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1–5 完整</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真实数据+多模态+五步闭环推理</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sz w:val="20"/>
                <w:szCs w:val="20"/>
              </w:rPr>
              <w:t xml:space="preserve">Track B</w:t>
            </w:r>
            <w:r>
              <w:rPr>
                <w:rFonts w:ascii="Arial" w:cs="Arial" w:eastAsia="Arial" w:hAnsi="Arial"/>
                <w:sz w:val="20"/>
                <w:szCs w:val="20"/>
              </w:rPr>
              <w:t xml:space="preserve">
CRC-Text</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TCGA-COAD/READ
（~720例，含病理报告文本）</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1/2/3/5</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扩展至结直肠癌，引入 MSI 分子决策</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sz w:val="20"/>
                <w:szCs w:val="20"/>
              </w:rPr>
              <w:t xml:space="preserve">Track C</w:t>
            </w:r>
            <w:r>
              <w:rPr>
                <w:rFonts w:ascii="Arial" w:cs="Arial" w:eastAsia="Arial" w:hAnsi="Arial"/>
                <w:sz w:val="20"/>
                <w:szCs w:val="20"/>
              </w:rPr>
              <w:t xml:space="preserve">
Breast-Scale（SEER）</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SEER 乳腺癌（数万例）
+ TCGA-BRCA（1095例）</w:t>
            </w:r>
          </w:p>
        </w:tc>
        <w:tc>
          <w:tcPr>
            <w:tcW w:type="dxa" w:w="2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1/2/5（简化）</w:t>
            </w:r>
          </w:p>
        </w:tc>
        <w:tc>
          <w:tcPr>
            <w:tcW w:type="dxa" w:w="2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万级规模；唯一 SEER×NCCN LLM Benchmark；独有：指南符合性裁判任务</w:t>
            </w:r>
          </w:p>
        </w:tc>
      </w:tr>
    </w:tbl>
    <w:p>
      <w:pPr>
        <w:spacing w:before="100" w:after="0"/>
      </w:pPr>
    </w:p>
    <w:p>
      <w:pPr>
        <w:pStyle w:val="Heading2"/>
        <w:spacing w:before="280" w:after="120"/>
      </w:pPr>
      <w:r>
        <w:rPr>
          <w:rFonts w:ascii="Arial" w:cs="Arial" w:eastAsia="Arial" w:hAnsi="Arial"/>
          <w:b/>
          <w:bCs/>
          <w:color w:val="2E75B6"/>
          <w:sz w:val="26"/>
          <w:szCs w:val="26"/>
        </w:rPr>
        <w:t xml:space="preserve">1.5  SEER 轨道的 Task 设计与评分适配</w:t>
      </w:r>
    </w:p>
    <w:p>
      <w:pPr>
        <w:pStyle w:val="Heading3"/>
        <w:spacing w:before="200" w:after="100"/>
      </w:pPr>
      <w:r>
        <w:rPr>
          <w:rFonts w:ascii="Arial" w:cs="Arial" w:eastAsia="Arial" w:hAnsi="Arial"/>
          <w:b/>
          <w:bCs/>
          <w:color w:val="404040"/>
          <w:sz w:val="22"/>
          <w:szCs w:val="22"/>
        </w:rPr>
        <w:t xml:space="preserve">1.5.1  是否需要重新设计 Task？</w:t>
      </w:r>
    </w:p>
    <w:p>
      <w:pPr>
        <w:spacing w:before="80" w:after="80"/>
      </w:pPr>
      <w:r>
        <w:rPr>
          <w:rFonts w:ascii="Arial" w:cs="Arial" w:eastAsia="Arial" w:hAnsi="Arial"/>
          <w:sz w:val="22"/>
          <w:szCs w:val="22"/>
        </w:rPr>
        <w:t xml:space="preserve">不需要完全重新设计，但需要对现有 Task 做三项关键适配：</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适配项</w:t>
            </w:r>
          </w:p>
        </w:tc>
        <w:tc>
          <w:tcPr>
            <w:tcW w:type="dxa" w:w="36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Hancock 轨道（现有）</w:t>
            </w:r>
          </w:p>
        </w:tc>
        <w:tc>
          <w:tcPr>
            <w:tcW w:type="dxa" w:w="396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SEER 轨道（新增）</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1 输入</w:t>
            </w:r>
          </w:p>
        </w:tc>
        <w:tc>
          <w:tcPr>
            <w:tcW w:type="dxa" w:w="3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AI 合成 describe_focus 文本 + 结构化字段</w:t>
            </w:r>
          </w:p>
        </w:tc>
        <w:tc>
          <w:tcPr>
            <w:tcW w:type="dxa" w:w="39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仅结构化字段（TNM + 生物标志物），无文本合成需求</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3 任务</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从手术报告非结构化文本提取病理特征（NLP 提取）</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跳过（SEER 无手术报告文本），标记为 NOT_APPLICABLE</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Step 4 任务</w:t>
            </w:r>
          </w:p>
        </w:tc>
        <w:tc>
          <w:tcPr>
            <w:tcW w:type="dxa" w:w="3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从 WSI 图像识别微观病理特征（多模态）</w:t>
            </w:r>
          </w:p>
        </w:tc>
        <w:tc>
          <w:tcPr>
            <w:tcW w:type="dxa" w:w="39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跳过（SEER 无图像），标记为 NOT_APPLICABLE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5 独有任务</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辅助治疗方案推演 + 推理链评估</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新增：指南符合性裁判（模型判断实际治疗是否符合指南，是 SEER 轨道的核心独有任务）</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NCCN 路径 GT</w:t>
            </w:r>
          </w:p>
        </w:tc>
        <w:tc>
          <w:tcPr>
            <w:tcW w:type="dxa" w:w="3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专家标注 nccn_pathway_node，专家审核 20%</w:t>
            </w:r>
          </w:p>
        </w:tc>
        <w:tc>
          <w:tcPr>
            <w:tcW w:type="dxa" w:w="39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规则引擎从 TNM × 生物标志物自动生成，无需大量专家标注</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评分权重</w:t>
            </w:r>
          </w:p>
        </w:tc>
        <w:tc>
          <w:tcPr>
            <w:tcW w:type="dxa" w:w="3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4（WSI）权重最高（25%），五步均参与评分</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Step 2（路径定位）和 Step 5（指南符合裁判）各占 40%，Step 1 占 20%</w:t>
            </w:r>
          </w:p>
        </w:tc>
      </w:tr>
    </w:tbl>
    <w:p>
      <w:pPr>
        <w:spacing w:before="100" w:after="0"/>
      </w:pPr>
    </w:p>
    <w:p>
      <w:pPr>
        <w:pStyle w:val="Heading3"/>
        <w:spacing w:before="200" w:after="100"/>
      </w:pPr>
      <w:r>
        <w:rPr>
          <w:rFonts w:ascii="Arial" w:cs="Arial" w:eastAsia="Arial" w:hAnsi="Arial"/>
          <w:b/>
          <w:bCs/>
          <w:color w:val="404040"/>
          <w:sz w:val="22"/>
          <w:szCs w:val="22"/>
        </w:rPr>
        <w:t xml:space="preserve">1.5.2  乳腺癌 vs 头颈癌：NCCN 路径设计难度比较</w:t>
      </w:r>
    </w:p>
    <w:p>
      <w:pPr>
        <w:spacing w:before="80" w:after="80"/>
      </w:pPr>
      <w:r>
        <w:rPr>
          <w:rFonts w:ascii="Arial" w:cs="Arial" w:eastAsia="Arial" w:hAnsi="Arial"/>
          <w:sz w:val="22"/>
          <w:szCs w:val="22"/>
        </w:rPr>
        <w:t xml:space="preserve">引入乳腺癌后，NCCN 决策逻辑与头颈癌存在本质差异，不需要重新设计框架，但需要单独整理路径规则：</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维度</w:t>
            </w:r>
          </w:p>
        </w:tc>
        <w:tc>
          <w:tcPr>
            <w:tcW w:type="dxa" w:w="34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头颈癌（Hancock，现有）</w:t>
            </w:r>
          </w:p>
        </w:tc>
        <w:tc>
          <w:tcPr>
            <w:tcW w:type="dxa" w:w="34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乳腺癌（SEER，新增）</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核心分流因子</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肿瘤部位 × cT × cN × p16状态</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TNM × ER/PR/HER2 × 肿瘤大小</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路径节点数量</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复杂（6亚型 × 多节点，如 HYPO-2/3/5、SUPRA-2/3/5/6/8 等）</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相对简洁（分为早期/局部晚期/转移三大分支，生物标志物驱动）</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辅助治疗决策复杂度</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高（需综合 perinodal、切缘、LVI 等多不良特征）</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中（ER/PR/HER2 × 分期直接决定化疗/内分泌/靶向方案）</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规则引擎自动化程度</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中（部分边界案例需专家介入，如 T3 保留喉判断）</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高（字段完整，可全自动生成 GT，专家仅需抽样验证）</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需重新设计 Task？</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sz w:val="20"/>
                <w:szCs w:val="20"/>
              </w:rPr>
              <w:t xml:space="preserve">否</w:t>
            </w:r>
          </w:p>
        </w:tc>
        <w:tc>
          <w:tcPr>
            <w:tcW w:type="dxa" w:w="34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sz w:val="20"/>
                <w:szCs w:val="20"/>
              </w:rPr>
              <w:t xml:space="preserve">否，复用框架，适配路径规则和字段映射即可</w:t>
            </w:r>
          </w:p>
        </w:tc>
      </w:tr>
    </w:tbl>
    <w:p>
      <w:pPr>
        <w:spacing w:before="100" w:after="0"/>
      </w:pPr>
    </w:p>
    <w:p>
      <w:pPr>
        <w:pStyle w:val="Heading3"/>
        <w:spacing w:before="200" w:after="100"/>
      </w:pPr>
      <w:r>
        <w:rPr>
          <w:rFonts w:ascii="Arial" w:cs="Arial" w:eastAsia="Arial" w:hAnsi="Arial"/>
          <w:b/>
          <w:bCs/>
          <w:color w:val="404040"/>
          <w:sz w:val="22"/>
          <w:szCs w:val="22"/>
        </w:rPr>
        <w:t xml:space="preserve">1.5.3  SEER 轨道的独有核心任务：指南符合性裁判</w:t>
      </w:r>
    </w:p>
    <w:p>
      <w:pPr>
        <w:spacing w:before="80" w:after="80"/>
      </w:pPr>
      <w:r>
        <w:rPr>
          <w:rFonts w:ascii="Arial" w:cs="Arial" w:eastAsia="Arial" w:hAnsi="Arial"/>
          <w:sz w:val="22"/>
          <w:szCs w:val="22"/>
        </w:rPr>
        <w:t xml:space="preserve">SEER 同时记录了患者的实际治疗结果（放疗/化疗 yes/no）和完整的 TNM 分期，这使得一个 Hancock 轨道没有的独特评测任务成为可能：</w:t>
      </w:r>
    </w:p>
    <w:p>
      <w:pPr>
        <w:spacing w:before="40" w:after="0"/>
      </w:pPr>
    </w:p>
    <w:p>
      <w:pPr>
        <w:pStyle w:val="ListParagraph"/>
        <w:numPr>
          <w:ilvl w:val="0"/>
          <w:numId w:val="2"/>
        </w:numPr>
        <w:spacing w:before="40" w:after="40"/>
      </w:pPr>
      <w:r>
        <w:rPr>
          <w:rFonts w:ascii="Arial" w:cs="Arial" w:eastAsia="Arial" w:hAnsi="Arial"/>
          <w:b w:val="false"/>
          <w:bCs w:val="false"/>
          <w:sz w:val="22"/>
          <w:szCs w:val="22"/>
        </w:rPr>
        <w:t xml:space="preserve">给定患者的结构化病历字段，被测模型推导 NCCN 指南推荐的治疗方案</w:t>
      </w:r>
    </w:p>
    <w:p>
      <w:pPr>
        <w:pStyle w:val="ListParagraph"/>
        <w:numPr>
          <w:ilvl w:val="0"/>
          <w:numId w:val="2"/>
        </w:numPr>
        <w:spacing w:before="40" w:after="40"/>
      </w:pPr>
      <w:r>
        <w:rPr>
          <w:rFonts w:ascii="Arial" w:cs="Arial" w:eastAsia="Arial" w:hAnsi="Arial"/>
          <w:b w:val="false"/>
          <w:bCs w:val="false"/>
          <w:sz w:val="22"/>
          <w:szCs w:val="22"/>
        </w:rPr>
        <w:t xml:space="preserve">同时，系统提供该患者的实际治疗记录（来自 SEER）</w:t>
      </w:r>
    </w:p>
    <w:p>
      <w:pPr>
        <w:pStyle w:val="ListParagraph"/>
        <w:numPr>
          <w:ilvl w:val="0"/>
          <w:numId w:val="2"/>
        </w:numPr>
        <w:spacing w:before="40" w:after="40"/>
      </w:pPr>
      <w:r>
        <w:rPr>
          <w:rFonts w:ascii="Arial" w:cs="Arial" w:eastAsia="Arial" w:hAnsi="Arial"/>
          <w:b w:val="false"/>
          <w:bCs w:val="false"/>
          <w:sz w:val="22"/>
          <w:szCs w:val="22"/>
        </w:rPr>
        <w:t xml:space="preserve">任务：模型判断该患者的实际治疗是否符合 NCCN 指南，并给出理由</w:t>
      </w:r>
    </w:p>
    <w:p>
      <w:pPr>
        <w:pStyle w:val="ListParagraph"/>
        <w:numPr>
          <w:ilvl w:val="0"/>
          <w:numId w:val="2"/>
        </w:numPr>
        <w:spacing w:before="40" w:after="40"/>
      </w:pPr>
      <w:r>
        <w:rPr>
          <w:rFonts w:ascii="Arial" w:cs="Arial" w:eastAsia="Arial" w:hAnsi="Arial"/>
          <w:b w:val="false"/>
          <w:bCs w:val="false"/>
          <w:sz w:val="22"/>
          <w:szCs w:val="22"/>
        </w:rPr>
        <w:t xml:space="preserve">GT：由规则引擎自动生成指南建议值，与 SEER 实际值对比得出</w:t>
      </w:r>
    </w:p>
    <w:p>
      <w:pPr>
        <w:spacing w:before="40" w:after="0"/>
      </w:pPr>
    </w:p>
    <w:p>
      <w:pPr>
        <w:spacing w:before="80" w:after="80"/>
      </w:pPr>
      <w:r>
        <w:rPr>
          <w:rFonts w:ascii="Arial" w:cs="Arial" w:eastAsia="Arial" w:hAnsi="Arial"/>
          <w:sz w:val="22"/>
          <w:szCs w:val="22"/>
        </w:rPr>
        <w:t xml:space="preserve">这个任务在现有任何 benchmark 中均不存在，是 SEER 轨道对整个项目的独特贡献。</w:t>
      </w:r>
    </w:p>
    <w:p>
      <w:pPr>
        <w:spacing w:before="100" w:after="0"/>
      </w:pPr>
    </w:p>
    <w:p>
      <w:pPr>
        <w:pStyle w:val="Heading2"/>
        <w:spacing w:before="280" w:after="120"/>
      </w:pPr>
      <w:r>
        <w:rPr>
          <w:rFonts w:ascii="Arial" w:cs="Arial" w:eastAsia="Arial" w:hAnsi="Arial"/>
          <w:b/>
          <w:bCs/>
          <w:color w:val="2E75B6"/>
          <w:sz w:val="26"/>
          <w:szCs w:val="26"/>
        </w:rPr>
        <w:t xml:space="preserve">1.6  推荐实施路径</w:t>
      </w:r>
    </w:p>
    <w:p>
      <w:pPr>
        <w:spacing w:before="80" w:after="80"/>
      </w:pPr>
      <w:r>
        <w:rPr>
          <w:rFonts w:ascii="Arial" w:cs="Arial" w:eastAsia="Arial" w:hAnsi="Arial"/>
          <w:sz w:val="22"/>
          <w:szCs w:val="22"/>
        </w:rPr>
        <w:t xml:space="preserve">基于以上分析，推荐按以下优先级逐步落地：</w:t>
      </w:r>
    </w:p>
    <w:p>
      <w:pPr>
        <w:pStyle w:val="ListParagraph"/>
        <w:numPr>
          <w:ilvl w:val="0"/>
          <w:numId w:val="3"/>
        </w:numPr>
        <w:spacing w:before="60" w:after="60"/>
      </w:pPr>
      <w:r>
        <w:rPr>
          <w:rFonts w:ascii="Arial" w:cs="Arial" w:eastAsia="Arial" w:hAnsi="Arial"/>
          <w:b w:val="false"/>
          <w:bCs w:val="false"/>
          <w:sz w:val="22"/>
          <w:szCs w:val="22"/>
        </w:rPr>
        <w:t xml:space="preserve">立即可行：下载 SEER 乳腺癌公开数据集（注册后免费，SEER*Stat 导出），完成字段映射脚本，验证 ER/PR/HER2 字段完整性（2010年后病例）。</w:t>
      </w:r>
    </w:p>
    <w:p>
      <w:pPr>
        <w:pStyle w:val="ListParagraph"/>
        <w:numPr>
          <w:ilvl w:val="0"/>
          <w:numId w:val="3"/>
        </w:numPr>
        <w:spacing w:before="60" w:after="60"/>
      </w:pPr>
      <w:r>
        <w:rPr>
          <w:rFonts w:ascii="Arial" w:cs="Arial" w:eastAsia="Arial" w:hAnsi="Arial"/>
          <w:b w:val="false"/>
          <w:bCs w:val="false"/>
          <w:sz w:val="22"/>
          <w:szCs w:val="22"/>
        </w:rPr>
        <w:t xml:space="preserve">中期：用规则引擎生成乳腺癌 NCCN 路径 GT，建立 SEER Track C 的 Case JSON 结构，实现指南符合性裁判任务的评分器。</w:t>
      </w:r>
    </w:p>
    <w:p>
      <w:pPr>
        <w:pStyle w:val="ListParagraph"/>
        <w:numPr>
          <w:ilvl w:val="0"/>
          <w:numId w:val="3"/>
        </w:numPr>
        <w:spacing w:before="60" w:after="60"/>
      </w:pPr>
      <w:r>
        <w:rPr>
          <w:rFonts w:ascii="Arial" w:cs="Arial" w:eastAsia="Arial" w:hAnsi="Arial"/>
          <w:b w:val="false"/>
          <w:bCs w:val="false"/>
          <w:sz w:val="22"/>
          <w:szCs w:val="22"/>
        </w:rPr>
        <w:t xml:space="preserve">后期（可选）：整合 TCGA-BRCA（1,095例），补充部分病理报告文本，为 Track C 引入轻量级的 Step 3 信息提取子任务。</w:t>
      </w:r>
    </w:p>
    <w:p>
      <w:pPr>
        <w:pBdr>
          <w:bottom w:val="single" w:color="BDD7EE" w:sz="4" w:space="1"/>
        </w:pBdr>
        <w:spacing w:before="120" w:after="120"/>
      </w:pPr>
    </w:p>
    <w:p>
      <w:pPr>
        <w:spacing w:before="200" w:after="0"/>
      </w:pPr>
    </w:p>
    <w:p>
      <w:pPr>
        <w:pStyle w:val="Heading1"/>
        <w:spacing w:before="360" w:after="160"/>
      </w:pPr>
      <w:r>
        <w:rPr>
          <w:rFonts w:ascii="Arial" w:cs="Arial" w:eastAsia="Arial" w:hAnsi="Arial"/>
          <w:b/>
          <w:bCs/>
          <w:color w:val="1F4E79"/>
          <w:sz w:val="32"/>
          <w:szCs w:val="32"/>
        </w:rPr>
        <w:t xml:space="preserve">第二部分  CancerGUIDE 竞品分析与研究策略</w:t>
      </w:r>
    </w:p>
    <w:p>
      <w:pPr>
        <w:spacing w:before="60" w:after="0"/>
      </w:pPr>
    </w:p>
    <w:p>
      <w:pPr>
        <w:pStyle w:val="Heading2"/>
        <w:spacing w:before="280" w:after="120"/>
      </w:pPr>
      <w:r>
        <w:rPr>
          <w:rFonts w:ascii="Arial" w:cs="Arial" w:eastAsia="Arial" w:hAnsi="Arial"/>
          <w:b/>
          <w:bCs/>
          <w:color w:val="2E75B6"/>
          <w:sz w:val="26"/>
          <w:szCs w:val="26"/>
        </w:rPr>
        <w:t xml:space="preserve">2.1  CancerGUIDE 项目概述</w:t>
      </w:r>
    </w:p>
    <w:p>
      <w:pPr>
        <w:spacing w:before="80" w:after="80"/>
      </w:pPr>
      <w:r>
        <w:rPr>
          <w:rFonts w:ascii="Arial" w:cs="Arial" w:eastAsia="Arial" w:hAnsi="Arial"/>
          <w:sz w:val="22"/>
          <w:szCs w:val="22"/>
        </w:rPr>
        <w:t xml:space="preserve">CancerGUIDE（arXiv:2509.07325，2025年9月）是目前与本项目最相关的公开工作，由 Alyssa Unell 等15名作者发表，基于13名肿瘤科医生对121例真实 NSCLC 患者的专家标注构建。其核心贡献分为三个部分：</w:t>
      </w:r>
    </w:p>
    <w:p>
      <w:pPr>
        <w:pStyle w:val="ListParagraph"/>
        <w:numPr>
          <w:ilvl w:val="0"/>
          <w:numId w:val="2"/>
        </w:numPr>
        <w:spacing w:before="40" w:after="40"/>
      </w:pPr>
      <w:r>
        <w:rPr>
          <w:rFonts w:ascii="Arial" w:cs="Arial" w:eastAsia="Arial" w:hAnsi="Arial"/>
          <w:b w:val="false"/>
          <w:bCs w:val="false"/>
          <w:sz w:val="22"/>
          <w:szCs w:val="22"/>
        </w:rPr>
        <w:t xml:space="preserve">数据集：121例真实 NSCLC 患者纵向数据（临床记录+诊断+病史），由13名肿瘤科医生标注，耗时130+小时，数据不对外公开</w:t>
      </w:r>
    </w:p>
    <w:p>
      <w:pPr>
        <w:pStyle w:val="ListParagraph"/>
        <w:numPr>
          <w:ilvl w:val="0"/>
          <w:numId w:val="2"/>
        </w:numPr>
        <w:spacing w:before="40" w:after="40"/>
      </w:pPr>
      <w:r>
        <w:rPr>
          <w:rFonts w:ascii="Arial" w:cs="Arial" w:eastAsia="Arial" w:hAnsi="Arial"/>
          <w:b w:val="false"/>
          <w:bCs w:val="false"/>
          <w:sz w:val="22"/>
          <w:szCs w:val="22"/>
        </w:rPr>
        <w:t xml:space="preserve">方法：代理 Benchmark（Proxy Benchmarking）方法——利用模型自我一致性（self-consistency）和跨模型一致性（cross-consistency）预测模型准确性，减少专家标注成本</w:t>
      </w:r>
    </w:p>
    <w:p>
      <w:pPr>
        <w:pStyle w:val="ListParagraph"/>
        <w:numPr>
          <w:ilvl w:val="0"/>
          <w:numId w:val="2"/>
        </w:numPr>
        <w:spacing w:before="40" w:after="40"/>
      </w:pPr>
      <w:r>
        <w:rPr>
          <w:rFonts w:ascii="Arial" w:cs="Arial" w:eastAsia="Arial" w:hAnsi="Arial"/>
          <w:b w:val="false"/>
          <w:bCs w:val="false"/>
          <w:sz w:val="22"/>
          <w:szCs w:val="22"/>
        </w:rPr>
        <w:t xml:space="preserve">系统：LLM Agent 框架，自动生成 NCCN 指南一致的治疗轨迹，元分类器 AUROC=0.804</w:t>
      </w:r>
    </w:p>
    <w:p>
      <w:pPr>
        <w:spacing w:before="60" w:after="0"/>
      </w:pPr>
    </w:p>
    <w:p>
      <w:pPr>
        <w:spacing w:before="80" w:after="80"/>
      </w:pPr>
      <w:r>
        <w:rPr>
          <w:rFonts w:ascii="Arial" w:cs="Arial" w:eastAsia="Arial" w:hAnsi="Arial"/>
          <w:b/>
          <w:bCs/>
          <w:sz w:val="22"/>
          <w:szCs w:val="22"/>
        </w:rPr>
        <w:t xml:space="preserve">关键数据：</w:t>
      </w:r>
      <w:r>
        <w:rPr>
          <w:rFonts w:ascii="Arial" w:cs="Arial" w:eastAsia="Arial" w:hAnsi="Arial"/>
          <w:sz w:val="22"/>
          <w:szCs w:val="22"/>
        </w:rPr>
        <w:t xml:space="preserve">代理 benchmark 与专家标注的 Spearman 相关系数 r=0.88，RMSE=0.08；专家间一致性（inter-annotator reliability）治疗匹配 0.636，路径重叠 0.692。</w:t>
      </w:r>
    </w:p>
    <w:p>
      <w:pPr>
        <w:spacing w:before="100" w:after="0"/>
      </w:pPr>
    </w:p>
    <w:p>
      <w:pPr>
        <w:pStyle w:val="Heading2"/>
        <w:spacing w:before="280" w:after="120"/>
      </w:pPr>
      <w:r>
        <w:rPr>
          <w:rFonts w:ascii="Arial" w:cs="Arial" w:eastAsia="Arial" w:hAnsi="Arial"/>
          <w:b/>
          <w:bCs/>
          <w:color w:val="2E75B6"/>
          <w:sz w:val="26"/>
          <w:szCs w:val="26"/>
        </w:rPr>
        <w:t xml:space="preserve">2.2  与本项目的全面对比</w:t>
      </w:r>
    </w:p>
    <w:p>
      <w:pPr>
        <w:spacing w:before="40" w:after="0"/>
      </w:pPr>
    </w:p>
    <w:p>
      <w:pPr>
        <w:pStyle w:val="Heading3"/>
        <w:spacing w:before="200" w:after="100"/>
      </w:pPr>
      <w:r>
        <w:rPr>
          <w:rFonts w:ascii="Arial" w:cs="Arial" w:eastAsia="Arial" w:hAnsi="Arial"/>
          <w:b/>
          <w:bCs/>
          <w:color w:val="404040"/>
          <w:sz w:val="22"/>
          <w:szCs w:val="22"/>
        </w:rPr>
        <w:t xml:space="preserve">2.2.1  核心定位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维度</w:t>
            </w:r>
          </w:p>
        </w:tc>
        <w:tc>
          <w:tcPr>
            <w:tcW w:type="dxa" w:w="35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CancerGUIDE</w:t>
            </w:r>
          </w:p>
        </w:tc>
        <w:tc>
          <w:tcPr>
            <w:tcW w:type="dxa" w:w="35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HNC-Benchmark（本项目）</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核心科学问题</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如何在少量专家标注下扩展 NCCN 评测规模？（方法论论文）</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真实公开多模态数据上，LLM 能否完成完整闭环临床推理？（数据集+评测框架论文）</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癌种</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单一癌种（NSCLC 非小细胞肺癌）</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六种头颈癌亚型（口腔癌、口咽癌 p16±、下咽癌、声门/声门上喉癌）</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数据公开性</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 不公开（私有数据，第三方合同商获取）</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 完全公开（Hancock CC BY 4.0）</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数据规模</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121 例</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763 例（核心评测集约 450 例）</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模态</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纯文本（完整 EHR，平均 54,755 字符/患者）</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文本 + 真实 WSI 病理图像（多模态）</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推理类型</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单步：完整 EHR → NCCN 路径</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五步序列推理，每步依赖上一步输出（级联）</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GT 来源</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13 名专家手工标注路径轨迹</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病理结构化字段（病理报告客观数据）+ 规则引擎 + 专家验证</w:t>
            </w:r>
          </w:p>
        </w:tc>
      </w:tr>
    </w:tbl>
    <w:p>
      <w:pPr>
        <w:spacing w:before="80" w:after="0"/>
      </w:pPr>
    </w:p>
    <w:p>
      <w:pPr>
        <w:pStyle w:val="Heading3"/>
        <w:spacing w:before="200" w:after="100"/>
      </w:pPr>
      <w:r>
        <w:rPr>
          <w:rFonts w:ascii="Arial" w:cs="Arial" w:eastAsia="Arial" w:hAnsi="Arial"/>
          <w:b/>
          <w:bCs/>
          <w:color w:val="404040"/>
          <w:sz w:val="22"/>
          <w:szCs w:val="22"/>
        </w:rPr>
        <w:t xml:space="preserve">2.2.2  数据构建方式对比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数据构建维度</w:t>
            </w:r>
          </w:p>
        </w:tc>
        <w:tc>
          <w:tcPr>
            <w:tcW w:type="dxa" w:w="35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CancerGUIDE</w:t>
            </w:r>
          </w:p>
        </w:tc>
        <w:tc>
          <w:tcPr>
            <w:tcW w:type="dxa" w:w="35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HNC-Benchmark</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数据来源</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美国多机构 EHR，第三方合同商去标识，私有不公开</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Hancock 公开数据集（德国Erlangen单中心，2005-2019）</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文本类型</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完整纵向 EHR 叙述性文本（超长，包含所有就诊记录）</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手术报告英译文本 + 病史英译文本（结构化 + 半结构化）</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图像数据</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无</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709 张原发灶 WSI + 396 张淋巴结 WSI（带 GeoJSON 专家标注）</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GT 构建方式</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13名专家手工标注路径序列（节点ID序列），耗时130+小时</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pathological_data.json 直接提供客观字段（无歧义）+ 规则引擎自动生成路径节点</w:t>
            </w:r>
          </w:p>
        </w:tc>
      </w:tr>
      <w:tr>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GT 可信度</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专家间一致性较低（治疗匹配 0.636），存在合理分歧，标注成本极高</w:t>
            </w:r>
          </w:p>
        </w:tc>
        <w:tc>
          <w:tcPr>
            <w:tcW w:type="dxa" w:w="35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结构化字段 GT 客观性高（检测结果无歧义）；路径节点规则生成，专家抽样验证 20%</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数据公开策略</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代码和合成数据公开，真实患者数据不公开（IRB 和合规限制）</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全部公开，基于 CC BY 4.0 数据集，无需申请</w:t>
            </w:r>
          </w:p>
        </w:tc>
      </w:tr>
    </w:tbl>
    <w:p>
      <w:pPr>
        <w:spacing w:before="80" w:after="0"/>
      </w:pPr>
    </w:p>
    <w:p>
      <w:pPr>
        <w:pStyle w:val="Heading3"/>
        <w:spacing w:before="200" w:after="100"/>
      </w:pPr>
      <w:r>
        <w:rPr>
          <w:rFonts w:ascii="Arial" w:cs="Arial" w:eastAsia="Arial" w:hAnsi="Arial"/>
          <w:b/>
          <w:bCs/>
          <w:color w:val="404040"/>
          <w:sz w:val="22"/>
          <w:szCs w:val="22"/>
        </w:rPr>
        <w:t xml:space="preserve">2.2.3  考察角度（测什么）对比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600"/>
        <w:gridCol w:w="3460"/>
      </w:tblGrid>
      <w:tr>
        <w:tc>
          <w:tcPr>
            <w:tcW w:type="dxa" w:w="27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考察维度</w:t>
            </w:r>
          </w:p>
        </w:tc>
        <w:tc>
          <w:tcPr>
            <w:tcW w:type="dxa" w:w="16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CancerGUIDE</w:t>
            </w:r>
          </w:p>
        </w:tc>
        <w:tc>
          <w:tcPr>
            <w:tcW w:type="dxa" w:w="16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HNC-Benchmark</w:t>
            </w:r>
          </w:p>
        </w:tc>
        <w:tc>
          <w:tcPr>
            <w:tcW w:type="dxa" w:w="346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7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指南路径推理</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考察</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考察</w:t>
            </w:r>
          </w:p>
        </w:tc>
        <w:tc>
          <w:tcPr>
            <w:tcW w:type="dxa" w:w="34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两者均考察，但粒度不同：CancerGUIDE 测路径序列，我们测单节点精确匹配+推荐等级</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非结构化文本信息提取（NLP）</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B83232"/>
                <w:sz w:val="20"/>
                <w:szCs w:val="20"/>
              </w:rPr>
              <w:t xml:space="preserve">❌ 不考察</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1A7A4A"/>
                <w:sz w:val="20"/>
                <w:szCs w:val="20"/>
              </w:rPr>
              <w:t xml:space="preserve">✅ 考察（Step 3）</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我们独有：从手术报告提取初步病理特征，设有零幻觉约束和 evidence anchor 评分</w:t>
            </w:r>
          </w:p>
        </w:tc>
      </w:tr>
      <w:tr>
        <w:tc>
          <w:tcPr>
            <w:tcW w:type="dxa" w:w="27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多模态图像理解（WSI 读片）</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B83232"/>
                <w:sz w:val="20"/>
                <w:szCs w:val="20"/>
              </w:rPr>
              <w:t xml:space="preserve">❌ 不考察</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考察（Step 4）</w:t>
            </w:r>
          </w:p>
        </w:tc>
        <w:tc>
          <w:tcPr>
            <w:tcW w:type="dxa" w:w="34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我们独有：从 HE 染色 WSI 识别微观病理特征（perineural invasion、LVI 等）</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序列推理与错误级联</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B83232"/>
                <w:sz w:val="20"/>
                <w:szCs w:val="20"/>
              </w:rPr>
              <w:t xml:space="preserve">❌ 单步推理</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1A7A4A"/>
                <w:sz w:val="20"/>
                <w:szCs w:val="20"/>
              </w:rPr>
              <w:t xml:space="preserve">✅ 五步级联</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我们独有：早期错误是否影响后续决策（AR/IND 双轨评分）</w:t>
            </w:r>
          </w:p>
        </w:tc>
      </w:tr>
      <w:tr>
        <w:tc>
          <w:tcPr>
            <w:tcW w:type="dxa" w:w="27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幻觉检测（evidence 引用核验）</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B83232"/>
                <w:sz w:val="20"/>
                <w:szCs w:val="20"/>
              </w:rPr>
              <w:t xml:space="preserve">❌ 不考察</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考察</w:t>
            </w:r>
          </w:p>
        </w:tc>
        <w:tc>
          <w:tcPr>
            <w:tcW w:type="dxa" w:w="34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我们独有：evidence 字段是否引用手术报告原文，无依据时是否输出 Cannot Determine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临床安全惩罚（高危特征漏报）</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B83232"/>
                <w:sz w:val="20"/>
                <w:szCs w:val="20"/>
              </w:rPr>
              <w:t xml:space="preserve">❌ 无机制</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1A7A4A"/>
                <w:sz w:val="20"/>
                <w:szCs w:val="20"/>
              </w:rPr>
              <w:t xml:space="preserve">✅ CSS 独立评分</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我们独有：漏报 perinodal invasion、漏开放化疗等高危错误有独立临床安全分（CSS）</w:t>
            </w:r>
          </w:p>
        </w:tc>
      </w:tr>
      <w:tr>
        <w:tc>
          <w:tcPr>
            <w:tcW w:type="dxa" w:w="27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阶段意识（时序门控）</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B83232"/>
                <w:sz w:val="20"/>
                <w:szCs w:val="20"/>
              </w:rPr>
              <w:t xml:space="preserve">❌ 不考察</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考察</w:t>
            </w:r>
          </w:p>
        </w:tc>
        <w:tc>
          <w:tcPr>
            <w:tcW w:type="dxa" w:w="34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我们独有：模型是否知道自己在哪一诊疗阶段，禁止跨阶段输出</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信息缺失下的不确定性表达</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B83232"/>
                <w:sz w:val="20"/>
                <w:szCs w:val="20"/>
              </w:rPr>
              <w:t xml:space="preserve">❌ 不考察</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bCs/>
                <w:color w:val="1A7A4A"/>
                <w:sz w:val="20"/>
                <w:szCs w:val="20"/>
              </w:rPr>
              <w:t xml:space="preserve">✅ 考察</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我们独有：WSI 缺失时能否输出 Cannot Determine 而非幻觉，是专业/非专业模型分水岭</w:t>
            </w:r>
          </w:p>
        </w:tc>
      </w:tr>
      <w:tr>
        <w:tc>
          <w:tcPr>
            <w:tcW w:type="dxa" w:w="27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代理 Benchmark 方法（一致性预测）</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1A7A4A"/>
                <w:sz w:val="20"/>
                <w:szCs w:val="20"/>
              </w:rPr>
              <w:t xml:space="preserve">✅ 核心贡献</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color w:val="C47C00"/>
                <w:sz w:val="20"/>
                <w:szCs w:val="20"/>
              </w:rPr>
              <w:t xml:space="preserve">⚠️ 未采用</w:t>
            </w:r>
          </w:p>
        </w:tc>
        <w:tc>
          <w:tcPr>
            <w:tcW w:type="dxa" w:w="34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CancerGUIDE 的核心技术：用模型一致性预测准确性（r=0.88）。我们可借鉴但不能作为主贡献</w:t>
            </w:r>
          </w:p>
        </w:tc>
      </w:tr>
    </w:tbl>
    <w:p>
      <w:pPr>
        <w:spacing w:before="100" w:after="0"/>
      </w:pPr>
    </w:p>
    <w:p>
      <w:pPr>
        <w:pStyle w:val="Heading2"/>
        <w:spacing w:before="280" w:after="120"/>
      </w:pPr>
      <w:r>
        <w:rPr>
          <w:rFonts w:ascii="Arial" w:cs="Arial" w:eastAsia="Arial" w:hAnsi="Arial"/>
          <w:b/>
          <w:bCs/>
          <w:color w:val="2E75B6"/>
          <w:sz w:val="26"/>
          <w:szCs w:val="26"/>
        </w:rPr>
        <w:t xml:space="preserve">2.3  可采纳的内容</w:t>
      </w:r>
    </w:p>
    <w:p>
      <w:pPr>
        <w:spacing w:before="40" w:after="0"/>
      </w:pPr>
    </w:p>
    <w:p>
      <w:pPr>
        <w:pStyle w:val="Heading3"/>
        <w:spacing w:before="200" w:after="100"/>
      </w:pPr>
      <w:r>
        <w:rPr>
          <w:rFonts w:ascii="Arial" w:cs="Arial" w:eastAsia="Arial" w:hAnsi="Arial"/>
          <w:b/>
          <w:bCs/>
          <w:color w:val="404040"/>
          <w:sz w:val="22"/>
          <w:szCs w:val="22"/>
        </w:rPr>
        <w:t xml:space="preserve">2.3.1  代理 Benchmark 方法（Proxy Benchmarking）</w:t>
      </w:r>
    </w:p>
    <w:p>
      <w:pPr>
        <w:spacing w:before="80" w:after="80"/>
      </w:pPr>
      <w:r>
        <w:rPr>
          <w:rFonts w:ascii="Arial" w:cs="Arial" w:eastAsia="Arial" w:hAnsi="Arial"/>
          <w:sz w:val="22"/>
          <w:szCs w:val="22"/>
        </w:rPr>
        <w:t xml:space="preserve">CancerGUIDE 最有价值的方法论贡献完全可以在本项目中采用，用于降低 LLM-Judge 的评分成本。具体落地方式：</w:t>
      </w:r>
    </w:p>
    <w:p>
      <w:pPr>
        <w:pStyle w:val="ListParagraph"/>
        <w:numPr>
          <w:ilvl w:val="0"/>
          <w:numId w:val="2"/>
        </w:numPr>
        <w:spacing w:before="40" w:after="40"/>
      </w:pPr>
      <w:r>
        <w:rPr>
          <w:rFonts w:ascii="Arial" w:cs="Arial" w:eastAsia="Arial" w:hAnsi="Arial"/>
          <w:b w:val="false"/>
          <w:bCs w:val="false"/>
          <w:sz w:val="22"/>
          <w:szCs w:val="22"/>
        </w:rPr>
        <w:t xml:space="preserve">在 Step 5 的 guideline_decision_chain 字段评分时，除 LLM-Judge 外，加入"模型在3次独立运行中给出相同 NCCN 路径节点的比例"作为辅助信号</w:t>
      </w:r>
    </w:p>
    <w:p>
      <w:pPr>
        <w:pStyle w:val="ListParagraph"/>
        <w:numPr>
          <w:ilvl w:val="0"/>
          <w:numId w:val="2"/>
        </w:numPr>
        <w:spacing w:before="40" w:after="40"/>
      </w:pPr>
      <w:r>
        <w:rPr>
          <w:rFonts w:ascii="Arial" w:cs="Arial" w:eastAsia="Arial" w:hAnsi="Arial"/>
          <w:b w:val="false"/>
          <w:bCs w:val="false"/>
          <w:sz w:val="22"/>
          <w:szCs w:val="22"/>
        </w:rPr>
        <w:t xml:space="preserve">对自由文本字段（reasoning、evidence），将模型自我一致性分数作为评分置信度的代理指标，减少每个字段需要的 Judge 调用次数</w:t>
      </w:r>
    </w:p>
    <w:p>
      <w:pPr>
        <w:pStyle w:val="ListParagraph"/>
        <w:numPr>
          <w:ilvl w:val="0"/>
          <w:numId w:val="2"/>
        </w:numPr>
        <w:spacing w:before="40" w:after="40"/>
      </w:pPr>
      <w:r>
        <w:rPr>
          <w:rFonts w:ascii="Arial" w:cs="Arial" w:eastAsia="Arial" w:hAnsi="Arial"/>
          <w:b w:val="false"/>
          <w:bCs w:val="false"/>
          <w:sz w:val="22"/>
          <w:szCs w:val="22"/>
        </w:rPr>
        <w:t xml:space="preserve">在论文中以"借鉴 CancerGUIDE 的代理方法并将其扩展到多步骤多模态场景"表述，体现继承与拓展</w:t>
      </w:r>
    </w:p>
    <w:p>
      <w:pPr>
        <w:spacing w:before="60" w:after="0"/>
      </w:pPr>
    </w:p>
    <w:p>
      <w:pPr>
        <w:pStyle w:val="Heading3"/>
        <w:spacing w:before="200" w:after="100"/>
      </w:pPr>
      <w:r>
        <w:rPr>
          <w:rFonts w:ascii="Arial" w:cs="Arial" w:eastAsia="Arial" w:hAnsi="Arial"/>
          <w:b/>
          <w:bCs/>
          <w:color w:val="404040"/>
          <w:sz w:val="22"/>
          <w:szCs w:val="22"/>
        </w:rPr>
        <w:t xml:space="preserve">2.3.2  专家间一致性的显式报告</w:t>
      </w:r>
    </w:p>
    <w:p>
      <w:pPr>
        <w:spacing w:before="80" w:after="80"/>
      </w:pPr>
      <w:r>
        <w:rPr>
          <w:rFonts w:ascii="Arial" w:cs="Arial" w:eastAsia="Arial" w:hAnsi="Arial"/>
          <w:sz w:val="22"/>
          <w:szCs w:val="22"/>
        </w:rPr>
        <w:t xml:space="preserve">CancerGUIDE 明确测量并报告了专家间一致性（inter-annotator reliability）。本项目在以下三个专家标注环节应同样报告：</w:t>
      </w:r>
    </w:p>
    <w:p>
      <w:pPr>
        <w:pStyle w:val="ListParagraph"/>
        <w:numPr>
          <w:ilvl w:val="0"/>
          <w:numId w:val="2"/>
        </w:numPr>
        <w:spacing w:before="40" w:after="40"/>
      </w:pPr>
      <w:r>
        <w:rPr>
          <w:rFonts w:ascii="Arial" w:cs="Arial" w:eastAsia="Arial" w:hAnsi="Arial"/>
          <w:b w:val="false"/>
          <w:bCs w:val="false"/>
          <w:sz w:val="22"/>
          <w:szCs w:val="22"/>
        </w:rPr>
        <w:t xml:space="preserve">describe_focus 文本审核的专家间一致性（不同放射科医生对同一分期的描述差异）</w:t>
      </w:r>
    </w:p>
    <w:p>
      <w:pPr>
        <w:pStyle w:val="ListParagraph"/>
        <w:numPr>
          <w:ilvl w:val="0"/>
          <w:numId w:val="2"/>
        </w:numPr>
        <w:spacing w:before="40" w:after="40"/>
      </w:pPr>
      <w:r>
        <w:rPr>
          <w:rFonts w:ascii="Arial" w:cs="Arial" w:eastAsia="Arial" w:hAnsi="Arial"/>
          <w:b w:val="false"/>
          <w:bCs w:val="false"/>
          <w:sz w:val="22"/>
          <w:szCs w:val="22"/>
        </w:rPr>
        <w:t xml:space="preserve">NCCN 路径节点标注的专家间一致性（尤其是 T3/T4a 边界、声门上喉癌 N+ 分流等模糊节点）</w:t>
      </w:r>
    </w:p>
    <w:p>
      <w:pPr>
        <w:pStyle w:val="ListParagraph"/>
        <w:numPr>
          <w:ilvl w:val="0"/>
          <w:numId w:val="2"/>
        </w:numPr>
        <w:spacing w:before="40" w:after="40"/>
      </w:pPr>
      <w:r>
        <w:rPr>
          <w:rFonts w:ascii="Arial" w:cs="Arial" w:eastAsia="Arial" w:hAnsi="Arial"/>
          <w:b w:val="false"/>
          <w:bCs w:val="false"/>
          <w:sz w:val="22"/>
          <w:szCs w:val="22"/>
        </w:rPr>
        <w:t xml:space="preserve">ICD codes 声门/声门上喉癌归类的专家间一致性</w:t>
      </w:r>
    </w:p>
    <w:p>
      <w:pPr>
        <w:spacing w:before="80" w:after="80"/>
      </w:pPr>
      <w:r>
        <w:rPr>
          <w:rFonts w:ascii="Arial" w:cs="Arial" w:eastAsia="Arial" w:hAnsi="Arial"/>
          <w:sz w:val="22"/>
          <w:szCs w:val="22"/>
        </w:rPr>
        <w:t xml:space="preserve">报告方式：使用 Cohen's Kappa 或 Krippendorff's Alpha，在论文方法节中明确说明。</w:t>
      </w:r>
    </w:p>
    <w:p>
      <w:pPr>
        <w:spacing w:before="60" w:after="0"/>
      </w:pPr>
    </w:p>
    <w:p>
      <w:pPr>
        <w:pStyle w:val="Heading3"/>
        <w:spacing w:before="200" w:after="100"/>
      </w:pPr>
      <w:r>
        <w:rPr>
          <w:rFonts w:ascii="Arial" w:cs="Arial" w:eastAsia="Arial" w:hAnsi="Arial"/>
          <w:b/>
          <w:bCs/>
          <w:color w:val="404040"/>
          <w:sz w:val="22"/>
          <w:szCs w:val="22"/>
        </w:rPr>
        <w:t xml:space="preserve">2.3.3  GT 歧义的处理机制</w:t>
      </w:r>
    </w:p>
    <w:p>
      <w:pPr>
        <w:spacing w:before="80" w:after="80"/>
      </w:pPr>
      <w:r>
        <w:rPr>
          <w:rFonts w:ascii="Arial" w:cs="Arial" w:eastAsia="Arial" w:hAnsi="Arial"/>
          <w:sz w:val="22"/>
          <w:szCs w:val="22"/>
        </w:rPr>
        <w:t xml:space="preserve">CancerGUIDE 观察到即使是专家标注也存在合理分歧（治疗匹配仅 0.636）。本项目应在 meta.json 中引入 gt_ambiguous: true 字段，对存在路径分歧的案例使用"宽容匹配"评分（部分分而非全或无），避免惩罚临床上合理但与 GT 不完全一致的输出。</w:t>
      </w:r>
    </w:p>
    <w:p>
      <w:pPr>
        <w:spacing w:before="60" w:after="0"/>
      </w:pPr>
    </w:p>
    <w:p>
      <w:pPr>
        <w:pStyle w:val="Heading3"/>
        <w:spacing w:before="200" w:after="100"/>
      </w:pPr>
      <w:r>
        <w:rPr>
          <w:rFonts w:ascii="Arial" w:cs="Arial" w:eastAsia="Arial" w:hAnsi="Arial"/>
          <w:b/>
          <w:bCs/>
          <w:color w:val="404040"/>
          <w:sz w:val="22"/>
          <w:szCs w:val="22"/>
        </w:rPr>
        <w:t xml:space="preserve">2.3.4  JSON 化 NCCN 决策树表示</w:t>
      </w:r>
    </w:p>
    <w:p>
      <w:pPr>
        <w:spacing w:before="80" w:after="80"/>
      </w:pPr>
      <w:r>
        <w:rPr>
          <w:rFonts w:ascii="Arial" w:cs="Arial" w:eastAsia="Arial" w:hAnsi="Arial"/>
          <w:sz w:val="22"/>
          <w:szCs w:val="22"/>
        </w:rPr>
        <w:t xml:space="preserve">CancerGUIDE 使用 o3 的视觉能力将 NCCN 决策树页面转化为 JSON 格式（节点 ID + 中间节点 + 终点推荐节点）。本项目可以直接借鉴这一结构，将已整理的六种头颈癌 NCCN 路径表转化为标准 JSON 格式，作为规则引擎的输入基础，也便于后续 RAG 增强测试。</w:t>
      </w:r>
    </w:p>
    <w:p>
      <w:pPr>
        <w:spacing w:before="100" w:after="0"/>
      </w:pPr>
    </w:p>
    <w:p>
      <w:pPr>
        <w:pStyle w:val="Heading2"/>
        <w:spacing w:before="280" w:after="120"/>
      </w:pPr>
      <w:r>
        <w:rPr>
          <w:rFonts w:ascii="Arial" w:cs="Arial" w:eastAsia="Arial" w:hAnsi="Arial"/>
          <w:b/>
          <w:bCs/>
          <w:color w:val="2E75B6"/>
          <w:sz w:val="26"/>
          <w:szCs w:val="26"/>
        </w:rPr>
        <w:t xml:space="preserve">2.4  需要避嫌的内容</w:t>
      </w:r>
    </w:p>
    <w:p>
      <w:pPr>
        <w:spacing w:before="40" w:after="0"/>
      </w:pPr>
    </w:p>
    <w:p>
      <w:pPr>
        <w:pStyle w:val="Heading3"/>
        <w:spacing w:before="200" w:after="100"/>
      </w:pPr>
      <w:r>
        <w:rPr>
          <w:rFonts w:ascii="Arial" w:cs="Arial" w:eastAsia="Arial" w:hAnsi="Arial"/>
          <w:b/>
          <w:bCs/>
          <w:color w:val="404040"/>
          <w:sz w:val="22"/>
          <w:szCs w:val="22"/>
        </w:rPr>
        <w:t xml:space="preserve">2.4.1  不要声称"第一个用真实患者数据做 NCCN 指南 Benchmark"</w:t>
      </w:r>
    </w:p>
    <w:p>
      <w:pPr>
        <w:spacing w:before="80" w:after="80"/>
      </w:pPr>
      <w:r>
        <w:rPr>
          <w:rFonts w:ascii="Arial" w:cs="Arial" w:eastAsia="Arial" w:hAnsi="Arial"/>
          <w:sz w:val="22"/>
          <w:szCs w:val="22"/>
        </w:rPr>
        <w:t xml:space="preserve">CancerGUIDE 已明确声称构建了"第一个 NCCN 指南依从性 Benchmark（NSCLC）"，使用了真实患者数据。论文中应精准定位差异化：</w:t>
      </w:r>
    </w:p>
    <w:p>
      <w:pPr>
        <w:pStyle w:val="ListParagraph"/>
        <w:numPr>
          <w:ilvl w:val="0"/>
          <w:numId w:val="2"/>
        </w:numPr>
        <w:spacing w:before="40" w:after="40"/>
      </w:pPr>
      <w:r>
        <w:rPr>
          <w:rFonts w:ascii="Arial" w:cs="Arial" w:eastAsia="Arial" w:hAnsi="Arial"/>
          <w:b w:val="false"/>
          <w:bCs w:val="false"/>
          <w:sz w:val="22"/>
          <w:szCs w:val="22"/>
        </w:rPr>
        <w:t xml:space="preserve">第一个公开（Open Access）的真实患者 NCCN Benchmark</w:t>
      </w:r>
    </w:p>
    <w:p>
      <w:pPr>
        <w:pStyle w:val="ListParagraph"/>
        <w:numPr>
          <w:ilvl w:val="0"/>
          <w:numId w:val="2"/>
        </w:numPr>
        <w:spacing w:before="40" w:after="40"/>
      </w:pPr>
      <w:r>
        <w:rPr>
          <w:rFonts w:ascii="Arial" w:cs="Arial" w:eastAsia="Arial" w:hAnsi="Arial"/>
          <w:b w:val="false"/>
          <w:bCs w:val="false"/>
          <w:sz w:val="22"/>
          <w:szCs w:val="22"/>
        </w:rPr>
        <w:t xml:space="preserve">第一个多模态（含 WSI 病理图像）的 NCCN Benchmark</w:t>
      </w:r>
    </w:p>
    <w:p>
      <w:pPr>
        <w:pStyle w:val="ListParagraph"/>
        <w:numPr>
          <w:ilvl w:val="0"/>
          <w:numId w:val="2"/>
        </w:numPr>
        <w:spacing w:before="40" w:after="40"/>
      </w:pPr>
      <w:r>
        <w:rPr>
          <w:rFonts w:ascii="Arial" w:cs="Arial" w:eastAsia="Arial" w:hAnsi="Arial"/>
          <w:b w:val="false"/>
          <w:bCs w:val="false"/>
          <w:sz w:val="22"/>
          <w:szCs w:val="22"/>
        </w:rPr>
        <w:t xml:space="preserve">第一个涵盖头颈癌六亚型完整闭环（Workup → 辅助治疗）的 Benchmark</w:t>
      </w:r>
    </w:p>
    <w:p>
      <w:pPr>
        <w:pStyle w:val="ListParagraph"/>
        <w:numPr>
          <w:ilvl w:val="0"/>
          <w:numId w:val="2"/>
        </w:numPr>
        <w:spacing w:before="40" w:after="40"/>
      </w:pPr>
      <w:r>
        <w:rPr>
          <w:rFonts w:ascii="Arial" w:cs="Arial" w:eastAsia="Arial" w:hAnsi="Arial"/>
          <w:b w:val="false"/>
          <w:bCs w:val="false"/>
          <w:sz w:val="22"/>
          <w:szCs w:val="22"/>
        </w:rPr>
        <w:t xml:space="preserve">第一个引入临床安全评分（CSS）的 NCCN Benchmark</w:t>
      </w:r>
    </w:p>
    <w:p>
      <w:pPr>
        <w:spacing w:before="60" w:after="0"/>
      </w:pPr>
    </w:p>
    <w:p>
      <w:pPr>
        <w:pStyle w:val="Heading3"/>
        <w:spacing w:before="200" w:after="100"/>
      </w:pPr>
      <w:r>
        <w:rPr>
          <w:rFonts w:ascii="Arial" w:cs="Arial" w:eastAsia="Arial" w:hAnsi="Arial"/>
          <w:b/>
          <w:bCs/>
          <w:color w:val="404040"/>
          <w:sz w:val="22"/>
          <w:szCs w:val="22"/>
        </w:rPr>
        <w:t xml:space="preserve">2.4.2  不要直接复用 Treatment Trajectory 作为主要评分框架</w:t>
      </w:r>
    </w:p>
    <w:p>
      <w:pPr>
        <w:spacing w:before="80" w:after="80"/>
      </w:pPr>
      <w:r>
        <w:rPr>
          <w:rFonts w:ascii="Arial" w:cs="Arial" w:eastAsia="Arial" w:hAnsi="Arial"/>
          <w:sz w:val="22"/>
          <w:szCs w:val="22"/>
        </w:rPr>
        <w:t xml:space="preserve">Treatment Trajectory（治疗轨迹）和 Path Overlap Score（路径重叠分数）是 CancerGUIDE 的核心评分概念。本项目的评分应明确采用不同术语和更细粒度的指标：</w:t>
      </w:r>
    </w:p>
    <w:p>
      <w:pPr>
        <w:pStyle w:val="ListParagraph"/>
        <w:numPr>
          <w:ilvl w:val="0"/>
          <w:numId w:val="2"/>
        </w:numPr>
        <w:spacing w:before="40" w:after="40"/>
      </w:pPr>
      <w:r>
        <w:rPr>
          <w:rFonts w:ascii="Arial" w:cs="Arial" w:eastAsia="Arial" w:hAnsi="Arial"/>
          <w:b w:val="false"/>
          <w:bCs w:val="false"/>
          <w:sz w:val="22"/>
          <w:szCs w:val="22"/>
        </w:rPr>
        <w:t xml:space="preserve">使用 nccn_pathway_node 精确匹配（单节点）+ recommendation_category（推荐等级），而非路径序列匹配</w:t>
      </w:r>
    </w:p>
    <w:p>
      <w:pPr>
        <w:pStyle w:val="ListParagraph"/>
        <w:numPr>
          <w:ilvl w:val="0"/>
          <w:numId w:val="2"/>
        </w:numPr>
        <w:spacing w:before="40" w:after="40"/>
      </w:pPr>
      <w:r>
        <w:rPr>
          <w:rFonts w:ascii="Arial" w:cs="Arial" w:eastAsia="Arial" w:hAnsi="Arial"/>
          <w:b w:val="false"/>
          <w:bCs w:val="false"/>
          <w:sz w:val="22"/>
          <w:szCs w:val="22"/>
        </w:rPr>
        <w:t xml:space="preserve">强调五步骤评分的递进性和级联追踪，这是 CancerGUIDE 完全没有的维度</w:t>
      </w:r>
    </w:p>
    <w:p>
      <w:pPr>
        <w:spacing w:before="60" w:after="0"/>
      </w:pPr>
    </w:p>
    <w:p>
      <w:pPr>
        <w:pStyle w:val="Heading3"/>
        <w:spacing w:before="200" w:after="100"/>
      </w:pPr>
      <w:r>
        <w:rPr>
          <w:rFonts w:ascii="Arial" w:cs="Arial" w:eastAsia="Arial" w:hAnsi="Arial"/>
          <w:b/>
          <w:bCs/>
          <w:color w:val="404040"/>
          <w:sz w:val="22"/>
          <w:szCs w:val="22"/>
        </w:rPr>
        <w:t xml:space="preserve">2.4.3  不要将代理 Benchmark 方法列为主要贡献</w:t>
      </w:r>
    </w:p>
    <w:p>
      <w:pPr>
        <w:spacing w:before="80" w:after="80"/>
      </w:pPr>
      <w:r>
        <w:rPr>
          <w:rFonts w:ascii="Arial" w:cs="Arial" w:eastAsia="Arial" w:hAnsi="Arial"/>
          <w:sz w:val="22"/>
          <w:szCs w:val="22"/>
        </w:rPr>
        <w:t xml:space="preserve">CancerGUIDE 已对代理 Benchmark 方法做了详细分析（r=0.88 等）。即使本项目使用了类似方法，应在论文中定位为"参考 CancerGUIDE 的方法并应用于多步骤多模态场景的扩展"，而非独立贡献。</w:t>
      </w:r>
    </w:p>
    <w:p>
      <w:pPr>
        <w:spacing w:before="60" w:after="0"/>
      </w:pPr>
    </w:p>
    <w:p>
      <w:pPr>
        <w:pStyle w:val="Heading3"/>
        <w:spacing w:before="200" w:after="100"/>
      </w:pPr>
      <w:r>
        <w:rPr>
          <w:rFonts w:ascii="Arial" w:cs="Arial" w:eastAsia="Arial" w:hAnsi="Arial"/>
          <w:b/>
          <w:bCs/>
          <w:color w:val="404040"/>
          <w:sz w:val="22"/>
          <w:szCs w:val="22"/>
        </w:rPr>
        <w:t xml:space="preserve">2.4.4  不要在 NSCLC 上建立主要 Benchmark</w:t>
      </w:r>
    </w:p>
    <w:p>
      <w:pPr>
        <w:spacing w:before="80" w:after="80"/>
      </w:pPr>
      <w:r>
        <w:rPr>
          <w:rFonts w:ascii="Arial" w:cs="Arial" w:eastAsia="Arial" w:hAnsi="Arial"/>
          <w:sz w:val="22"/>
          <w:szCs w:val="22"/>
        </w:rPr>
        <w:t xml:space="preserve">NSCLC 是 CancerGUIDE 的核心癌种。头颈癌是本项目的独特领地。如果需要扩展癌种（SEER 轨道），优先选择乳腺癌（NCCN 路径清晰、SEER 字段完整、无竞争）或结直肠癌（MSI 分子决策特色），避开肺癌。</w:t>
      </w:r>
    </w:p>
    <w:p>
      <w:pPr>
        <w:spacing w:before="60" w:after="0"/>
      </w:pPr>
    </w:p>
    <w:p>
      <w:pPr>
        <w:pStyle w:val="Heading3"/>
        <w:spacing w:before="200" w:after="100"/>
      </w:pPr>
      <w:r>
        <w:rPr>
          <w:rFonts w:ascii="Arial" w:cs="Arial" w:eastAsia="Arial" w:hAnsi="Arial"/>
          <w:b/>
          <w:bCs/>
          <w:color w:val="404040"/>
          <w:sz w:val="22"/>
          <w:szCs w:val="22"/>
        </w:rPr>
        <w:t xml:space="preserve">2.4.5  不要采用不公开数据集的模式</w:t>
      </w:r>
    </w:p>
    <w:p>
      <w:pPr>
        <w:spacing w:before="80" w:after="80"/>
      </w:pPr>
      <w:r>
        <w:rPr>
          <w:rFonts w:ascii="Arial" w:cs="Arial" w:eastAsia="Arial" w:hAnsi="Arial"/>
          <w:sz w:val="22"/>
          <w:szCs w:val="22"/>
        </w:rPr>
        <w:t xml:space="preserve">CancerGUIDE 数据不公开是其最显著的局限（仅代码和合成数据开放）。本项目应将可复现性和开放评测作为重要差异点在论文摘要中直接说明，突显 Hancock 数据集 CC BY 4.0 的开放优势。</w:t>
      </w:r>
    </w:p>
    <w:p>
      <w:pPr>
        <w:spacing w:before="100" w:after="0"/>
      </w:pPr>
    </w:p>
    <w:p>
      <w:pPr>
        <w:pStyle w:val="Heading2"/>
        <w:spacing w:before="280" w:after="120"/>
      </w:pPr>
      <w:r>
        <w:rPr>
          <w:rFonts w:ascii="Arial" w:cs="Arial" w:eastAsia="Arial" w:hAnsi="Arial"/>
          <w:b/>
          <w:bCs/>
          <w:color w:val="2E75B6"/>
          <w:sz w:val="26"/>
          <w:szCs w:val="26"/>
        </w:rPr>
        <w:t xml:space="preserve">2.5  两项研究的差异化定位总结</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1"/>
              <w:bottom w:val="single" w:color="1F4E79" w:sz="2"/>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CancerGUIDE</w:t>
            </w:r>
          </w:p>
        </w:tc>
        <w:tc>
          <w:tcPr>
            <w:tcW w:type="dxa" w:w="46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HNC-Benchmark（本项目）</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解决评测规模化问题：如何用更少专家标注评测更多模型</w:t>
            </w:r>
          </w:p>
        </w:tc>
        <w:tc>
          <w:tcPr>
            <w:tcW w:type="dxa" w:w="46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解决评测深度和真实性问题：真实公开数据上的完整临床推理闭环</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单步：EHR → 路径，考察指南知识</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五步序列：考察信息提取 + 多模态理解 + 动态推理 + 安全意识</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数据不公开，可复现性有限</w:t>
            </w:r>
          </w:p>
        </w:tc>
        <w:tc>
          <w:tcPr>
            <w:tcW w:type="dxa" w:w="46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数据完全公开，支持社区独立复现和持续更新排行榜</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方法论贡献为主（代理 Benchmark）</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b w:val="false"/>
                <w:bCs w:val="false"/>
                <w:color w:val="000000"/>
                <w:sz w:val="20"/>
                <w:szCs w:val="20"/>
              </w:rPr>
              <w:t xml:space="preserve">数据集 + 评测框架 + 多模态任务设计为主</w:t>
            </w:r>
          </w:p>
        </w:tc>
      </w:tr>
    </w:tbl>
    <w:p>
      <w:pPr>
        <w:spacing w:before="80" w:after="0"/>
      </w:pPr>
    </w:p>
    <w:p>
      <w:pPr>
        <w:spacing w:before="80" w:after="80"/>
      </w:pPr>
      <w:r>
        <w:rPr>
          <w:rFonts w:ascii="Arial" w:cs="Arial" w:eastAsia="Arial" w:hAnsi="Arial"/>
          <w:sz w:val="22"/>
          <w:szCs w:val="22"/>
        </w:rPr>
        <w:t xml:space="preserve">两项研究互补而非竞争。在论文的 Related Work 部分，应将 CancerGUIDE 定位为："CancerGUIDE 解决了 NCCN benchmark 的规模化问题，我们解决了评测的深度与真实性问题"。</w:t>
      </w:r>
    </w:p>
    <w:p>
      <w:pPr>
        <w:pBdr>
          <w:bottom w:val="single" w:color="BDD7EE" w:sz="4" w:space="1"/>
        </w:pBdr>
        <w:spacing w:before="120" w:after="120"/>
      </w:pPr>
    </w:p>
    <w:p>
      <w:pPr>
        <w:spacing w:before="200" w:after="0"/>
      </w:pPr>
    </w:p>
    <w:p>
      <w:pPr>
        <w:pStyle w:val="Heading1"/>
        <w:spacing w:before="360" w:after="160"/>
      </w:pPr>
      <w:r>
        <w:rPr>
          <w:rFonts w:ascii="Arial" w:cs="Arial" w:eastAsia="Arial" w:hAnsi="Arial"/>
          <w:b/>
          <w:bCs/>
          <w:color w:val="1F4E79"/>
          <w:sz w:val="32"/>
          <w:szCs w:val="32"/>
        </w:rPr>
        <w:t xml:space="preserve">第三部分  综合 TODO：后续行动计划</w:t>
      </w:r>
    </w:p>
    <w:p>
      <w:pPr>
        <w:spacing w:before="60" w:after="0"/>
      </w:pPr>
    </w:p>
    <w:p>
      <w:pPr>
        <w:pStyle w:val="Heading2"/>
        <w:spacing w:before="280" w:after="120"/>
      </w:pPr>
      <w:r>
        <w:rPr>
          <w:rFonts w:ascii="Arial" w:cs="Arial" w:eastAsia="Arial" w:hAnsi="Arial"/>
          <w:b/>
          <w:bCs/>
          <w:color w:val="2E75B6"/>
          <w:sz w:val="26"/>
          <w:szCs w:val="26"/>
        </w:rPr>
        <w:t xml:space="preserve">3.1  SEER 整合行动项</w:t>
      </w:r>
    </w:p>
    <w:p>
      <w:pPr>
        <w:pStyle w:val="ListParagraph"/>
        <w:numPr>
          <w:ilvl w:val="0"/>
          <w:numId w:val="3"/>
        </w:numPr>
        <w:spacing w:before="60" w:after="60"/>
      </w:pPr>
      <w:r>
        <w:rPr>
          <w:rFonts w:ascii="Arial" w:cs="Arial" w:eastAsia="Arial" w:hAnsi="Arial"/>
          <w:b w:val="false"/>
          <w:bCs w:val="false"/>
          <w:sz w:val="22"/>
          <w:szCs w:val="22"/>
        </w:rPr>
        <w:t xml:space="preserve">【立即】下载 SEER 乳腺癌公开数据集（注册 SEER*Stat 后免费导出），验证 ER/PR/HER2 字段在 2010 年后病例中的完整性</w:t>
      </w:r>
    </w:p>
    <w:p>
      <w:pPr>
        <w:pStyle w:val="ListParagraph"/>
        <w:numPr>
          <w:ilvl w:val="0"/>
          <w:numId w:val="3"/>
        </w:numPr>
        <w:spacing w:before="60" w:after="60"/>
      </w:pPr>
      <w:r>
        <w:rPr>
          <w:rFonts w:ascii="Arial" w:cs="Arial" w:eastAsia="Arial" w:hAnsi="Arial"/>
          <w:b w:val="false"/>
          <w:bCs w:val="false"/>
          <w:sz w:val="22"/>
          <w:szCs w:val="22"/>
        </w:rPr>
        <w:t xml:space="preserve">【短期】编写 SEER→Benchmark 字段映射脚本（参照第一部分表格），生成乳腺癌 Case JSON 结构</w:t>
      </w:r>
    </w:p>
    <w:p>
      <w:pPr>
        <w:pStyle w:val="ListParagraph"/>
        <w:numPr>
          <w:ilvl w:val="0"/>
          <w:numId w:val="3"/>
        </w:numPr>
        <w:spacing w:before="60" w:after="60"/>
      </w:pPr>
      <w:r>
        <w:rPr>
          <w:rFonts w:ascii="Arial" w:cs="Arial" w:eastAsia="Arial" w:hAnsi="Arial"/>
          <w:b w:val="false"/>
          <w:bCs w:val="false"/>
          <w:sz w:val="22"/>
          <w:szCs w:val="22"/>
        </w:rPr>
        <w:t xml:space="preserve">【短期】实现乳腺癌 NCCN 路径规则引擎（TNM × ER/PR/HER2 → 路径节点的自动映射），专家抽样验证 10%</w:t>
      </w:r>
    </w:p>
    <w:p>
      <w:pPr>
        <w:pStyle w:val="ListParagraph"/>
        <w:numPr>
          <w:ilvl w:val="0"/>
          <w:numId w:val="3"/>
        </w:numPr>
        <w:spacing w:before="60" w:after="60"/>
      </w:pPr>
      <w:r>
        <w:rPr>
          <w:rFonts w:ascii="Arial" w:cs="Arial" w:eastAsia="Arial" w:hAnsi="Arial"/>
          <w:b w:val="false"/>
          <w:bCs w:val="false"/>
          <w:sz w:val="22"/>
          <w:szCs w:val="22"/>
        </w:rPr>
        <w:t xml:space="preserve">【中期】设计并实现指南符合性裁判评分器（规则引擎推荐值 vs SEER 实际值 → 符合/不符合/可选），作为 Track C 独有任务</w:t>
      </w:r>
    </w:p>
    <w:p>
      <w:pPr>
        <w:pStyle w:val="ListParagraph"/>
        <w:numPr>
          <w:ilvl w:val="0"/>
          <w:numId w:val="3"/>
        </w:numPr>
        <w:spacing w:before="60" w:after="60"/>
      </w:pPr>
      <w:r>
        <w:rPr>
          <w:rFonts w:ascii="Arial" w:cs="Arial" w:eastAsia="Arial" w:hAnsi="Arial"/>
          <w:b w:val="false"/>
          <w:bCs w:val="false"/>
          <w:sz w:val="22"/>
          <w:szCs w:val="22"/>
        </w:rPr>
        <w:t xml:space="preserve">【后期可选】整合 TCGA-BRCA 病理报告文本，为 Track C 引入轻量级 Step 3 信息提取子任务</w:t>
      </w:r>
    </w:p>
    <w:p>
      <w:pPr>
        <w:spacing w:before="100" w:after="0"/>
      </w:pPr>
    </w:p>
    <w:p>
      <w:pPr>
        <w:pStyle w:val="Heading2"/>
        <w:spacing w:before="280" w:after="120"/>
      </w:pPr>
      <w:r>
        <w:rPr>
          <w:rFonts w:ascii="Arial" w:cs="Arial" w:eastAsia="Arial" w:hAnsi="Arial"/>
          <w:b/>
          <w:bCs/>
          <w:color w:val="2E75B6"/>
          <w:sz w:val="26"/>
          <w:szCs w:val="26"/>
        </w:rPr>
        <w:t xml:space="preserve">3.2  CancerGUIDE 对标行动项</w:t>
      </w:r>
    </w:p>
    <w:p>
      <w:pPr>
        <w:pStyle w:val="ListParagraph"/>
        <w:numPr>
          <w:ilvl w:val="0"/>
          <w:numId w:val="3"/>
        </w:numPr>
        <w:spacing w:before="60" w:after="60"/>
      </w:pPr>
      <w:r>
        <w:rPr>
          <w:rFonts w:ascii="Arial" w:cs="Arial" w:eastAsia="Arial" w:hAnsi="Arial"/>
          <w:b w:val="false"/>
          <w:bCs w:val="false"/>
          <w:sz w:val="22"/>
          <w:szCs w:val="22"/>
        </w:rPr>
        <w:t xml:space="preserve">【短期】在论文贡献部分明确列出与 CancerGUIDE 的差异化，确保不使用"第一个"等与 CancerGUIDE 冲突的表述</w:t>
      </w:r>
    </w:p>
    <w:p>
      <w:pPr>
        <w:pStyle w:val="ListParagraph"/>
        <w:numPr>
          <w:ilvl w:val="0"/>
          <w:numId w:val="3"/>
        </w:numPr>
        <w:spacing w:before="60" w:after="60"/>
      </w:pPr>
      <w:r>
        <w:rPr>
          <w:rFonts w:ascii="Arial" w:cs="Arial" w:eastAsia="Arial" w:hAnsi="Arial"/>
          <w:b w:val="false"/>
          <w:bCs w:val="false"/>
          <w:sz w:val="22"/>
          <w:szCs w:val="22"/>
        </w:rPr>
        <w:t xml:space="preserve">【中期】在专家标注环节引入 inter-annotator reliability 测量，计算 Cohen's Kappa 并在论文方法节中报告</w:t>
      </w:r>
    </w:p>
    <w:p>
      <w:pPr>
        <w:pStyle w:val="ListParagraph"/>
        <w:numPr>
          <w:ilvl w:val="0"/>
          <w:numId w:val="3"/>
        </w:numPr>
        <w:spacing w:before="60" w:after="60"/>
      </w:pPr>
      <w:r>
        <w:rPr>
          <w:rFonts w:ascii="Arial" w:cs="Arial" w:eastAsia="Arial" w:hAnsi="Arial"/>
          <w:b w:val="false"/>
          <w:bCs w:val="false"/>
          <w:sz w:val="22"/>
          <w:szCs w:val="22"/>
        </w:rPr>
        <w:t xml:space="preserve">【中期】在 meta.json 中加入 gt_ambiguous: true 字段，对路径存在合理分歧的案例采用宽容评分</w:t>
      </w:r>
    </w:p>
    <w:p>
      <w:pPr>
        <w:pStyle w:val="ListParagraph"/>
        <w:numPr>
          <w:ilvl w:val="0"/>
          <w:numId w:val="3"/>
        </w:numPr>
        <w:spacing w:before="60" w:after="60"/>
      </w:pPr>
      <w:r>
        <w:rPr>
          <w:rFonts w:ascii="Arial" w:cs="Arial" w:eastAsia="Arial" w:hAnsi="Arial"/>
          <w:b w:val="false"/>
          <w:bCs w:val="false"/>
          <w:sz w:val="22"/>
          <w:szCs w:val="22"/>
        </w:rPr>
        <w:t xml:space="preserve">【中期】将现有头颈癌 NCCN 路径表转化为 JSON 格式（参考 CancerGUIDE 的节点结构），作为规则引擎标准输入</w:t>
      </w:r>
    </w:p>
    <w:p>
      <w:pPr>
        <w:pStyle w:val="ListParagraph"/>
        <w:numPr>
          <w:ilvl w:val="0"/>
          <w:numId w:val="3"/>
        </w:numPr>
        <w:spacing w:before="60" w:after="60"/>
      </w:pPr>
      <w:r>
        <w:rPr>
          <w:rFonts w:ascii="Arial" w:cs="Arial" w:eastAsia="Arial" w:hAnsi="Arial"/>
          <w:b w:val="false"/>
          <w:bCs w:val="false"/>
          <w:sz w:val="22"/>
          <w:szCs w:val="22"/>
        </w:rPr>
        <w:t xml:space="preserve">【后期】在 Step 5 评分中引入模型自我一致性作为辅助信号（借鉴代理 Benchmark 方法），并在论文中明确引用 CancerGUIDE 该方法</w:t>
      </w:r>
    </w:p>
    <w:p>
      <w:pPr>
        <w:spacing w:before="100" w:after="0"/>
      </w:pPr>
    </w:p>
    <w:p>
      <w:pPr>
        <w:pStyle w:val="Heading2"/>
        <w:spacing w:before="280" w:after="120"/>
      </w:pPr>
      <w:r>
        <w:rPr>
          <w:rFonts w:ascii="Arial" w:cs="Arial" w:eastAsia="Arial" w:hAnsi="Arial"/>
          <w:b/>
          <w:bCs/>
          <w:color w:val="2E75B6"/>
          <w:sz w:val="26"/>
          <w:szCs w:val="26"/>
        </w:rPr>
        <w:t xml:space="preserve">3.3  整体优先级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4320"/>
        <w:gridCol w:w="1080"/>
      </w:tblGrid>
      <w:tr>
        <w:tc>
          <w:tcPr>
            <w:tcW w:type="dxa" w:w="144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优先级</w:t>
            </w:r>
          </w:p>
        </w:tc>
        <w:tc>
          <w:tcPr>
            <w:tcW w:type="dxa" w:w="252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类别</w:t>
            </w:r>
          </w:p>
        </w:tc>
        <w:tc>
          <w:tcPr>
            <w:tcW w:type="dxa" w:w="432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具体行动</w:t>
            </w:r>
          </w:p>
        </w:tc>
        <w:tc>
          <w:tcPr>
            <w:tcW w:type="dxa" w:w="108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时间</w:t>
            </w:r>
          </w:p>
        </w:tc>
      </w:tr>
      <w:tr>
        <w:tc>
          <w:tcPr>
            <w:tcW w:type="dxa" w:w="1440"/>
            <w:tcBorders>
              <w:top w:val="single" w:color="CCCCCC" w:sz="1"/>
              <w:left w:val="single" w:color="CCCCCC" w:sz="1"/>
              <w:bottom w:val="single" w:color="CCCCCC" w:sz="1"/>
              <w:right w:val="single" w:color="CCCCCC" w:sz="1"/>
            </w:tcBorders>
            <w:shd w:fill="FDF0F0" w:val="clear"/>
            <w:tcMar>
              <w:top w:type="dxa" w:w="70"/>
              <w:left w:type="dxa" w:w="110"/>
              <w:bottom w:type="dxa" w:w="70"/>
              <w:right w:type="dxa" w:w="110"/>
            </w:tcMar>
          </w:tcPr>
          <w:p>
            <w:r>
              <w:rPr>
                <w:rFonts w:ascii="Arial" w:cs="Arial" w:eastAsia="Arial" w:hAnsi="Arial"/>
                <w:b/>
                <w:bCs/>
                <w:color w:val="B83232"/>
                <w:sz w:val="20"/>
                <w:szCs w:val="20"/>
              </w:rPr>
              <w:t xml:space="preserve">P0 首要</w:t>
            </w:r>
          </w:p>
        </w:tc>
        <w:tc>
          <w:tcPr>
            <w:tcW w:type="dxa" w:w="2520"/>
            <w:tcBorders>
              <w:top w:val="single" w:color="CCCCCC" w:sz="1"/>
              <w:left w:val="single" w:color="CCCCCC" w:sz="1"/>
              <w:bottom w:val="single" w:color="CCCCCC" w:sz="1"/>
              <w:right w:val="single" w:color="CCCCCC" w:sz="1"/>
            </w:tcBorders>
            <w:shd w:fill="FDF0F0" w:val="clear"/>
            <w:tcMar>
              <w:top w:type="dxa" w:w="70"/>
              <w:left w:type="dxa" w:w="110"/>
              <w:bottom w:type="dxa" w:w="70"/>
              <w:right w:type="dxa" w:w="110"/>
            </w:tcMar>
          </w:tcPr>
          <w:p>
            <w:r>
              <w:rPr>
                <w:rFonts w:ascii="Arial" w:cs="Arial" w:eastAsia="Arial" w:hAnsi="Arial"/>
                <w:b w:val="false"/>
                <w:bCs w:val="false"/>
                <w:color w:val="000000"/>
                <w:sz w:val="20"/>
                <w:szCs w:val="20"/>
              </w:rPr>
              <w:t xml:space="preserve">Hancock 数据处理</w:t>
            </w:r>
          </w:p>
        </w:tc>
        <w:tc>
          <w:tcPr>
            <w:tcW w:type="dxa" w:w="4320"/>
            <w:tcBorders>
              <w:top w:val="single" w:color="CCCCCC" w:sz="1"/>
              <w:left w:val="single" w:color="CCCCCC" w:sz="1"/>
              <w:bottom w:val="single" w:color="CCCCCC" w:sz="1"/>
              <w:right w:val="single" w:color="CCCCCC" w:sz="1"/>
            </w:tcBorders>
            <w:shd w:fill="FDF0F0" w:val="clear"/>
            <w:tcMar>
              <w:top w:type="dxa" w:w="70"/>
              <w:left w:type="dxa" w:w="110"/>
              <w:bottom w:type="dxa" w:w="70"/>
              <w:right w:type="dxa" w:w="110"/>
            </w:tcMar>
          </w:tcPr>
          <w:p>
            <w:r>
              <w:rPr>
                <w:rFonts w:ascii="Arial" w:cs="Arial" w:eastAsia="Arial" w:hAnsi="Arial"/>
                <w:b w:val="false"/>
                <w:bCs w:val="false"/>
                <w:color w:val="000000"/>
                <w:sz w:val="20"/>
                <w:szCs w:val="20"/>
              </w:rPr>
              <w:t xml:space="preserve">P0-2 字段映射与完整性统计；P0-3 NCCN 路径规则引擎；P0-4 describe_focus 生成脚本</w:t>
            </w:r>
          </w:p>
        </w:tc>
        <w:tc>
          <w:tcPr>
            <w:tcW w:type="dxa" w:w="1080"/>
            <w:tcBorders>
              <w:top w:val="single" w:color="CCCCCC" w:sz="1"/>
              <w:left w:val="single" w:color="CCCCCC" w:sz="1"/>
              <w:bottom w:val="single" w:color="CCCCCC" w:sz="1"/>
              <w:right w:val="single" w:color="CCCCCC" w:sz="1"/>
            </w:tcBorders>
            <w:shd w:fill="FDF0F0" w:val="clear"/>
            <w:tcMar>
              <w:top w:type="dxa" w:w="70"/>
              <w:left w:type="dxa" w:w="110"/>
              <w:bottom w:type="dxa" w:w="70"/>
              <w:right w:type="dxa" w:w="110"/>
            </w:tcMar>
          </w:tcPr>
          <w:p>
            <w:r>
              <w:rPr>
                <w:rFonts w:ascii="Arial" w:cs="Arial" w:eastAsia="Arial" w:hAnsi="Arial"/>
                <w:b w:val="false"/>
                <w:bCs w:val="false"/>
                <w:color w:val="000000"/>
                <w:sz w:val="20"/>
                <w:szCs w:val="20"/>
              </w:rPr>
              <w:t xml:space="preserve">第1-2周</w:t>
            </w:r>
          </w:p>
        </w:tc>
      </w:tr>
      <w:tr>
        <w:tc>
          <w:tcPr>
            <w:tcW w:type="dxa" w:w="1440"/>
            <w:tcBorders>
              <w:top w:val="single" w:color="CCCCCC" w:sz="1"/>
              <w:left w:val="single" w:color="CCCCCC" w:sz="1"/>
              <w:bottom w:val="single" w:color="CCCCCC" w:sz="1"/>
              <w:right w:val="single" w:color="CCCCCC" w:sz="1"/>
            </w:tcBorders>
            <w:shd w:fill="FFF8E8" w:val="clear"/>
            <w:tcMar>
              <w:top w:type="dxa" w:w="70"/>
              <w:left w:type="dxa" w:w="110"/>
              <w:bottom w:type="dxa" w:w="70"/>
              <w:right w:type="dxa" w:w="110"/>
            </w:tcMar>
          </w:tcPr>
          <w:p>
            <w:r>
              <w:rPr>
                <w:rFonts w:ascii="Arial" w:cs="Arial" w:eastAsia="Arial" w:hAnsi="Arial"/>
                <w:b/>
                <w:bCs/>
                <w:color w:val="C47C00"/>
                <w:sz w:val="20"/>
                <w:szCs w:val="20"/>
              </w:rPr>
              <w:t xml:space="preserve">P1 重要</w:t>
            </w:r>
          </w:p>
        </w:tc>
        <w:tc>
          <w:tcPr>
            <w:tcW w:type="dxa" w:w="2520"/>
            <w:tcBorders>
              <w:top w:val="single" w:color="CCCCCC" w:sz="1"/>
              <w:left w:val="single" w:color="CCCCCC" w:sz="1"/>
              <w:bottom w:val="single" w:color="CCCCCC" w:sz="1"/>
              <w:right w:val="single" w:color="CCCCCC" w:sz="1"/>
            </w:tcBorders>
            <w:shd w:fill="FFF8E8" w:val="clear"/>
            <w:tcMar>
              <w:top w:type="dxa" w:w="70"/>
              <w:left w:type="dxa" w:w="110"/>
              <w:bottom w:type="dxa" w:w="70"/>
              <w:right w:type="dxa" w:w="110"/>
            </w:tcMar>
          </w:tcPr>
          <w:p>
            <w:r>
              <w:rPr>
                <w:rFonts w:ascii="Arial" w:cs="Arial" w:eastAsia="Arial" w:hAnsi="Arial"/>
                <w:b w:val="false"/>
                <w:bCs w:val="false"/>
                <w:color w:val="000000"/>
                <w:sz w:val="20"/>
                <w:szCs w:val="20"/>
              </w:rPr>
              <w:t xml:space="preserve">SEER Track C 搭建</w:t>
            </w:r>
          </w:p>
        </w:tc>
        <w:tc>
          <w:tcPr>
            <w:tcW w:type="dxa" w:w="4320"/>
            <w:tcBorders>
              <w:top w:val="single" w:color="CCCCCC" w:sz="1"/>
              <w:left w:val="single" w:color="CCCCCC" w:sz="1"/>
              <w:bottom w:val="single" w:color="CCCCCC" w:sz="1"/>
              <w:right w:val="single" w:color="CCCCCC" w:sz="1"/>
            </w:tcBorders>
            <w:shd w:fill="FFF8E8" w:val="clear"/>
            <w:tcMar>
              <w:top w:type="dxa" w:w="70"/>
              <w:left w:type="dxa" w:w="110"/>
              <w:bottom w:type="dxa" w:w="70"/>
              <w:right w:type="dxa" w:w="110"/>
            </w:tcMar>
          </w:tcPr>
          <w:p>
            <w:r>
              <w:rPr>
                <w:rFonts w:ascii="Arial" w:cs="Arial" w:eastAsia="Arial" w:hAnsi="Arial"/>
                <w:b w:val="false"/>
                <w:bCs w:val="false"/>
                <w:color w:val="000000"/>
                <w:sz w:val="20"/>
                <w:szCs w:val="20"/>
              </w:rPr>
              <w:t xml:space="preserve">SEER 字段映射脚本；乳腺癌 NCCN 规则引擎；指南符合性裁判任务实现</w:t>
            </w:r>
          </w:p>
        </w:tc>
        <w:tc>
          <w:tcPr>
            <w:tcW w:type="dxa" w:w="1080"/>
            <w:tcBorders>
              <w:top w:val="single" w:color="CCCCCC" w:sz="1"/>
              <w:left w:val="single" w:color="CCCCCC" w:sz="1"/>
              <w:bottom w:val="single" w:color="CCCCCC" w:sz="1"/>
              <w:right w:val="single" w:color="CCCCCC" w:sz="1"/>
            </w:tcBorders>
            <w:shd w:fill="FFF8E8" w:val="clear"/>
            <w:tcMar>
              <w:top w:type="dxa" w:w="70"/>
              <w:left w:type="dxa" w:w="110"/>
              <w:bottom w:type="dxa" w:w="70"/>
              <w:right w:type="dxa" w:w="110"/>
            </w:tcMar>
          </w:tcPr>
          <w:p>
            <w:r>
              <w:rPr>
                <w:rFonts w:ascii="Arial" w:cs="Arial" w:eastAsia="Arial" w:hAnsi="Arial"/>
                <w:b w:val="false"/>
                <w:bCs w:val="false"/>
                <w:color w:val="000000"/>
                <w:sz w:val="20"/>
                <w:szCs w:val="20"/>
              </w:rPr>
              <w:t xml:space="preserve">第3-4周</w:t>
            </w:r>
          </w:p>
        </w:tc>
      </w:tr>
      <w:tr>
        <w:tc>
          <w:tcPr>
            <w:tcW w:type="dxa" w:w="1440"/>
            <w:tcBorders>
              <w:top w:val="single" w:color="CCCCCC" w:sz="1"/>
              <w:left w:val="single" w:color="CCCCCC" w:sz="1"/>
              <w:bottom w:val="single" w:color="CCCCCC" w:sz="1"/>
              <w:right w:val="single" w:color="CCCCCC" w:sz="1"/>
            </w:tcBorders>
            <w:shd w:fill="EAF5EF" w:val="clear"/>
            <w:tcMar>
              <w:top w:type="dxa" w:w="70"/>
              <w:left w:type="dxa" w:w="110"/>
              <w:bottom w:type="dxa" w:w="70"/>
              <w:right w:type="dxa" w:w="110"/>
            </w:tcMar>
          </w:tcPr>
          <w:p>
            <w:r>
              <w:rPr>
                <w:rFonts w:ascii="Arial" w:cs="Arial" w:eastAsia="Arial" w:hAnsi="Arial"/>
                <w:b/>
                <w:bCs/>
                <w:color w:val="1A7A4A"/>
                <w:sz w:val="20"/>
                <w:szCs w:val="20"/>
              </w:rPr>
              <w:t xml:space="preserve">P2 中期</w:t>
            </w:r>
          </w:p>
        </w:tc>
        <w:tc>
          <w:tcPr>
            <w:tcW w:type="dxa" w:w="2520"/>
            <w:tcBorders>
              <w:top w:val="single" w:color="CCCCCC" w:sz="1"/>
              <w:left w:val="single" w:color="CCCCCC" w:sz="1"/>
              <w:bottom w:val="single" w:color="CCCCCC" w:sz="1"/>
              <w:right w:val="single" w:color="CCCCCC" w:sz="1"/>
            </w:tcBorders>
            <w:shd w:fill="EAF5EF" w:val="clear"/>
            <w:tcMar>
              <w:top w:type="dxa" w:w="70"/>
              <w:left w:type="dxa" w:w="110"/>
              <w:bottom w:type="dxa" w:w="70"/>
              <w:right w:type="dxa" w:w="110"/>
            </w:tcMar>
          </w:tcPr>
          <w:p>
            <w:r>
              <w:rPr>
                <w:rFonts w:ascii="Arial" w:cs="Arial" w:eastAsia="Arial" w:hAnsi="Arial"/>
                <w:b w:val="false"/>
                <w:bCs w:val="false"/>
                <w:color w:val="000000"/>
                <w:sz w:val="20"/>
                <w:szCs w:val="20"/>
              </w:rPr>
              <w:t xml:space="preserve">标注规范化</w:t>
            </w:r>
          </w:p>
        </w:tc>
        <w:tc>
          <w:tcPr>
            <w:tcW w:type="dxa" w:w="4320"/>
            <w:tcBorders>
              <w:top w:val="single" w:color="CCCCCC" w:sz="1"/>
              <w:left w:val="single" w:color="CCCCCC" w:sz="1"/>
              <w:bottom w:val="single" w:color="CCCCCC" w:sz="1"/>
              <w:right w:val="single" w:color="CCCCCC" w:sz="1"/>
            </w:tcBorders>
            <w:shd w:fill="EAF5EF" w:val="clear"/>
            <w:tcMar>
              <w:top w:type="dxa" w:w="70"/>
              <w:left w:type="dxa" w:w="110"/>
              <w:bottom w:type="dxa" w:w="70"/>
              <w:right w:type="dxa" w:w="110"/>
            </w:tcMar>
          </w:tcPr>
          <w:p>
            <w:r>
              <w:rPr>
                <w:rFonts w:ascii="Arial" w:cs="Arial" w:eastAsia="Arial" w:hAnsi="Arial"/>
                <w:b w:val="false"/>
                <w:bCs w:val="false"/>
                <w:color w:val="000000"/>
                <w:sz w:val="20"/>
                <w:szCs w:val="20"/>
              </w:rPr>
              <w:t xml:space="preserve">专家标注流程建立；inter-annotator reliability 测量；gt_ambiguous 字段引入</w:t>
            </w:r>
          </w:p>
        </w:tc>
        <w:tc>
          <w:tcPr>
            <w:tcW w:type="dxa" w:w="1080"/>
            <w:tcBorders>
              <w:top w:val="single" w:color="CCCCCC" w:sz="1"/>
              <w:left w:val="single" w:color="CCCCCC" w:sz="1"/>
              <w:bottom w:val="single" w:color="CCCCCC" w:sz="1"/>
              <w:right w:val="single" w:color="CCCCCC" w:sz="1"/>
            </w:tcBorders>
            <w:shd w:fill="EAF5EF" w:val="clear"/>
            <w:tcMar>
              <w:top w:type="dxa" w:w="70"/>
              <w:left w:type="dxa" w:w="110"/>
              <w:bottom w:type="dxa" w:w="70"/>
              <w:right w:type="dxa" w:w="110"/>
            </w:tcMar>
          </w:tcPr>
          <w:p>
            <w:r>
              <w:rPr>
                <w:rFonts w:ascii="Arial" w:cs="Arial" w:eastAsia="Arial" w:hAnsi="Arial"/>
                <w:b w:val="false"/>
                <w:bCs w:val="false"/>
                <w:color w:val="000000"/>
                <w:sz w:val="20"/>
                <w:szCs w:val="20"/>
              </w:rPr>
              <w:t xml:space="preserve">第4-6周</w:t>
            </w:r>
          </w:p>
        </w:tc>
      </w:tr>
      <w:tr>
        <w:tc>
          <w:tcPr>
            <w:tcW w:type="dxa" w:w="144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bCs/>
                <w:color w:val="2E75B6"/>
                <w:sz w:val="20"/>
                <w:szCs w:val="20"/>
              </w:rPr>
              <w:t xml:space="preserve">P3 长期</w:t>
            </w:r>
          </w:p>
        </w:tc>
        <w:tc>
          <w:tcPr>
            <w:tcW w:type="dxa" w:w="252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论文与对外发布</w:t>
            </w:r>
          </w:p>
        </w:tc>
        <w:tc>
          <w:tcPr>
            <w:tcW w:type="dxa" w:w="432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论文差异化定位；WSI patch 提取；代理 Benchmark 方法集成；网站上线</w:t>
            </w:r>
          </w:p>
        </w:tc>
        <w:tc>
          <w:tcPr>
            <w:tcW w:type="dxa" w:w="1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r>
              <w:rPr>
                <w:rFonts w:ascii="Arial" w:cs="Arial" w:eastAsia="Arial" w:hAnsi="Arial"/>
                <w:b w:val="false"/>
                <w:bCs w:val="false"/>
                <w:color w:val="000000"/>
                <w:sz w:val="20"/>
                <w:szCs w:val="20"/>
              </w:rPr>
              <w:t xml:space="preserve">第2-3月</w:t>
            </w:r>
          </w:p>
        </w:tc>
      </w:tr>
    </w:tbl>
    <w:p>
      <w:pPr>
        <w:spacing w:before="200" w:after="0"/>
      </w:pPr>
    </w:p>
    <w:p>
      <w:pPr>
        <w:pBdr>
          <w:top w:val="single" w:color="CCCCCC" w:sz="2" w:space="8"/>
        </w:pBdr>
        <w:spacing w:before="80" w:after="80"/>
      </w:pPr>
      <w:r>
        <w:rPr>
          <w:rFonts w:ascii="Arial" w:cs="Arial" w:eastAsia="Arial" w:hAnsi="Arial"/>
          <w:color w:val="888888"/>
          <w:sz w:val="18"/>
          <w:szCs w:val="18"/>
        </w:rPr>
        <w:t xml:space="preserve">HNC-Benchmark 项目组  |  本文档版本 1.0  |  2026年4月  |  内部使用</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2026-04-03T02:55:36.823Z</dcterms:created>
  <dcterms:modified xsi:type="dcterms:W3CDTF">2026-04-03T02:55:36.824Z</dcterms:modified>
</cp:coreProperties>
</file>

<file path=docProps/custom.xml><?xml version="1.0" encoding="utf-8"?>
<Properties xmlns="http://schemas.openxmlformats.org/officeDocument/2006/custom-properties" xmlns:vt="http://schemas.openxmlformats.org/officeDocument/2006/docPropsVTypes"/>
</file>