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gpt-image-1-mini</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(2026-03-12): feature 1 Art Pulse complete / feature 2 Exhibition Search complete / feature 3 Artist Search incident-closed / feature 4 Advisor A11 complete + A12 implemented.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A11 completed (type1 quality tuning, checkbox UI, latest available year only, `参照年` display). A12 type2 is officially implemented with lightweight precheck + fail-soft unified short message, but success-path real-image smoke is still blocked by environment/billing (`billing_hard_limit_reached`).</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enrichment bulk-apply batch safety hardening (docs sync -&gt; batch enforcement + repeat apply hard guard -&gt; safety verification -&gt; localized repair only if needed). A12 success-path smoke and feature 5/6 remain lower priority after that.</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(2026-03-12): feature 1 Art Pulse done / feature 2 Exhibition Search done / feature 3 Artist Search incident-closed / feature 4 Advisor A11 complete + A12 implemented (success-path smoke pending due billing).</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rsidDel="00000000" ns0:rsidR="00000000" ns0:rsidRPr="00000000">
        <ns0:rPr>
          <ns0:rtl ns0:val="0"/>
        </ns0:rPr>
        <ns0:t xml:space="preserve">- Feature 4 execution note: type1 quality tuning is the next step; type2 remains gate-only at this point. Seed10-decoupling body migration stays in a later phase.</ns0:t>
      </ns0:r>
      <ns0:r ns0:rsidDel="00000000" ns0:rsidR="00000000" ns0:rsidRPr="00000000">
        <ns0:rPr>
          <ns0:rtl ns0:val="0"/>
        </ns0:rPr>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