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rsidDel="00000000" ns0:rsidR="00000000" ns0:rsidRPr="00000000">
        <ns0:rPr>
          <ns0:highlight ns0:val="white"/>
          <ns0:rtl ns0:val="0"/>
        </ns0:rPr>
        <ns0:t xml:space="preserve">LAST_UPDATED: 2026-03-02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rsidR="00000000" ns0:rsidDel="00000000" ns0:rsidP="00000000" ns0:rsidRDefault="00000000" ns0:rsidRPr="00000000" ns1:paraId="000004D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(2026-03-18): feature 1 Art Pulse complete / feature 2 Exhibition Search complete / feature 3 Artist Search incident-closed / feature 4 Advisor type1 text-only + image-attached text-question lanes completed/locked; type2 text-only -&gt; image generation is accepted, while image-attached -&gt; image generation remains the next validation target.</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is accepted with fixed runtime (`gpt-image-1` / `low` / `1024x1024` / `1 image`) plus the current visual-nucleus-first prompt build. Type2 image-attached -&gt; image generation remains pending validation/smoke, so Feature 4 overall is still not declared fully closed.</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`A17_PHASE4_ADVISOR_TYPE2_IMAGE_ATTACHED_TO_IMAGE_GENERATION_SMOKE_01`. Operational rule: keep Feature 4 type1 text-only and image-attached lanes locked, keep the accepted type2 text-only -&gt; image generation behavior stable, and use the next main effort for image-attached -&gt; image generation validation/tuning inside Feature 4.</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(2026-03-17): feature 1 Art Pulse done / feature 2 Exhibition Search done / feature 3 Artist Search incident-closed / feature 4 Advisor type1 text-only lane completed/locked + A12 implemented (success-path smoke pending due billing; image-attached text-question tuning remains).</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is accepted with fixed runtime (`gpt-image-1` / `low` / `1024x1024` / `1 image`) and current visual-nucleus prompt ordering. Type2 image-attached -&gt; image generation remains the next validation/tuning target before Feature 4 can be treated as complete,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