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1A5276"/>
          <w:sz w:val="40"/>
          <w:szCs w:val="40"/>
        </w:rPr>
        <w:t xml:space="preserve">Glycolysis Logic Gate Educational Kit</w:t>
      </w:r>
    </w:p>
    <w:p>
      <w:pPr>
        <w:spacing w:after="60"/>
        <w:jc w:val="center"/>
      </w:pPr>
      <w:r>
        <w:rPr>
          <w:rFonts w:ascii="Arial" w:cs="Arial" w:eastAsia="Arial" w:hAnsi="Arial"/>
          <w:color w:val="555555"/>
          <w:sz w:val="26"/>
          <w:szCs w:val="26"/>
        </w:rPr>
        <w:t xml:space="preserve">Step 2 of 10  ·  Glucose-6-Phosphate → Fructose-6-Phosphate (F6P)</w:t>
      </w:r>
    </w:p>
    <w:p>
      <w:pPr>
        <w:pBdr>
          <w:bottom w:val="single" w:color="1A5276" w:sz="6" w:space="1"/>
        </w:pBdr>
        <w:spacing w:after="240"/>
        <w:jc w:val="center"/>
      </w:pPr>
      <w:r>
        <w:rPr>
          <w:rFonts w:ascii="Arial" w:cs="Arial" w:eastAsia="Arial" w:hAnsi="Arial"/>
          <w:i/>
          <w:iCs/>
          <w:color w:val="888888"/>
          <w:sz w:val="22"/>
          <w:szCs w:val="22"/>
        </w:rPr>
        <w:t xml:space="preserve">Enzyme: Phosphoglucose Isomerase  ·  ATP change: 0  ·  Net reaction: G6P ⇌ F6P</w:t>
      </w:r>
    </w:p>
    <w:p>
      <w:pPr>
        <w:pStyle w:val="Heading2"/>
      </w:pPr>
      <w:r>
        <w:rPr>
          <w:rFonts w:ascii="Arial" w:cs="Arial" w:eastAsia="Arial" w:hAnsi="Arial"/>
          <w:b/>
          <w:bCs/>
          <w:sz w:val="26"/>
          <w:szCs w:val="26"/>
        </w:rPr>
        <w:t xml:space="preserve">1.  Biochemical Context</w:t>
      </w:r>
    </w:p>
    <w:p>
      <w:pPr>
        <w:spacing w:after="120"/>
      </w:pPr>
      <w:r>
        <w:rPr>
          <w:rFonts w:ascii="Arial" w:cs="Arial" w:eastAsia="Arial" w:hAnsi="Arial"/>
          <w:sz w:val="22"/>
          <w:szCs w:val="22"/>
        </w:rPr>
        <w:t xml:space="preserve">In Step 2, Phosphoglucose Isomerase (PGI) converts Glucose-6-Phosphate (G6P) into Fructose-6-Phosphate (F6P). This is a simple isomerisation — the phosphate group stays at the same position, but the ring structure rearranges from a 6-membered pyranose (glucose) to a 5-membered furanose (fructose) form. No ATP is consumed or produced.</w:t>
      </w:r>
    </w:p>
    <w:p>
      <w:pPr>
        <w:spacing w:after="120"/>
      </w:pPr>
      <w:r>
        <w:rPr>
          <w:rFonts w:ascii="Arial" w:cs="Arial" w:eastAsia="Arial" w:hAnsi="Arial"/>
          <w:sz w:val="22"/>
          <w:szCs w:val="22"/>
        </w:rPr>
        <w:t xml:space="preserve">This step is notable for two reasons. First, the reaction is fully reversible under physiological conditions — the double-headed arrow (G6P ⇌ F6P) reflects this. Second, it is a prerequisite for Step 3: F6P must be present before phosphofructokinase can act. The step is essentially a molecular shape change that prepares the substrate for the next committed, irreversible step.</w:t>
      </w:r>
    </w:p>
    <w:p>
      <w:pPr>
        <w:spacing w:after="120"/>
      </w:pPr>
      <w:r>
        <w:rPr>
          <w:rFonts w:ascii="Arial" w:cs="Arial" w:eastAsia="Arial" w:hAnsi="Arial"/>
          <w:sz w:val="22"/>
          <w:szCs w:val="22"/>
        </w:rPr>
        <w:t xml:space="preserve">Two conditions must be true for the isomerisation to proceed:</w:t>
      </w:r>
    </w:p>
    <w:p>
      <w:pPr>
        <w:spacing w:after="120"/>
      </w:pPr>
      <w:r>
        <w:rPr>
          <w:rFonts w:ascii="Arial" w:cs="Arial" w:eastAsia="Arial" w:hAnsi="Arial"/>
          <w:i/>
          <w:iCs/>
          <w:sz w:val="22"/>
          <w:szCs w:val="22"/>
        </w:rPr>
        <w:t xml:space="preserve">  • G6P is present (product of Step 1)</w:t>
      </w:r>
    </w:p>
    <w:p>
      <w:pPr>
        <w:spacing w:after="120"/>
      </w:pPr>
      <w:r>
        <w:rPr>
          <w:rFonts w:ascii="Arial" w:cs="Arial" w:eastAsia="Arial" w:hAnsi="Arial"/>
          <w:i/>
          <w:iCs/>
          <w:sz w:val="22"/>
          <w:szCs w:val="22"/>
        </w:rPr>
        <w:t xml:space="preserve">  • Phosphoglucose Isomerase is active</w:t>
      </w:r>
    </w:p>
    <w:p>
      <w:r>
        <w:t xml:space="preserve"/>
      </w:r>
    </w:p>
    <w:p>
      <w:pPr>
        <w:pStyle w:val="Heading2"/>
      </w:pPr>
      <w:r>
        <w:rPr>
          <w:rFonts w:ascii="Arial" w:cs="Arial" w:eastAsia="Arial" w:hAnsi="Arial"/>
          <w:b/>
          <w:bCs/>
          <w:sz w:val="26"/>
          <w:szCs w:val="26"/>
        </w:rPr>
        <w:t xml:space="preserve">2.  Comparison with Step 1</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 1</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 2</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Hexokinase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Phosphoglucose Isomerase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Inputs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ATP + Hexokinase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Isomerase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Gate count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2x AND (AND1, AND2)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1x AND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ATP change</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 (investment)</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 (no change)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Reversible?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(irreversible)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Yes (reversible)</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Outputs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ADP + 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Circuit complexity</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Higher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Simpler</w:t>
            </w:r>
          </w:p>
        </w:tc>
      </w:tr>
    </w:tbl>
    <w:p>
      <w:r>
        <w:t xml:space="preserve"/>
      </w:r>
    </w:p>
    <w:p>
      <w:pPr>
        <w:pStyle w:val="Heading2"/>
      </w:pPr>
      <w:r>
        <w:rPr>
          <w:rFonts w:ascii="Arial" w:cs="Arial" w:eastAsia="Arial" w:hAnsi="Arial"/>
          <w:b/>
          <w:bCs/>
          <w:sz w:val="26"/>
          <w:szCs w:val="26"/>
        </w:rPr>
        <w:t xml:space="preserve">3.  Logic Signal Mapping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20"/>
        <w:gridCol w:w="2520"/>
        <w:gridCol w:w="2520"/>
        <w:gridCol w:w="252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Signal</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Represents</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1 (HIGH)</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Logic 0 (LOW)</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Substrate input (from Step 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available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G6P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Isomerase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enable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Enzyme absent/inhibited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 gate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Isomerisation occurs</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Reaction blocked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Product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produced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No F6P</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Visual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ON — isomerisation active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OFF</w:t>
            </w:r>
          </w:p>
        </w:tc>
      </w:tr>
    </w:tbl>
    <w:p>
      <w:r>
        <w:t xml:space="preserve"/>
      </w:r>
    </w:p>
    <w:p>
      <w:pPr>
        <w:pStyle w:val="Heading2"/>
      </w:pPr>
      <w:r>
        <w:rPr>
          <w:rFonts w:ascii="Arial" w:cs="Arial" w:eastAsia="Arial" w:hAnsi="Arial"/>
          <w:b/>
          <w:bCs/>
          <w:sz w:val="26"/>
          <w:szCs w:val="26"/>
        </w:rPr>
        <w:t xml:space="preserve">4.  Boolean Logic Expression</w:t>
      </w:r>
    </w:p>
    <w:p>
      <w:pPr>
        <w:spacing w:after="120"/>
      </w:pPr>
      <w:r>
        <w:rPr>
          <w:rFonts w:ascii="Arial" w:cs="Arial" w:eastAsia="Arial" w:hAnsi="Arial"/>
          <w:sz w:val="22"/>
          <w:szCs w:val="22"/>
        </w:rPr>
        <w:t xml:space="preserve">The circuit implements the following logic:</w:t>
      </w:r>
    </w:p>
    <w:p>
      <w:r>
        <w:t xml:space="preserve"/>
      </w:r>
    </w:p>
    <w:p>
      <w:pPr>
        <w:spacing w:before="60" w:after="60"/>
      </w:pPr>
      <w:r>
        <w:rPr>
          <w:rFonts w:ascii="Courier New" w:cs="Courier New" w:eastAsia="Courier New" w:hAnsi="Courier New"/>
          <w:sz w:val="20"/>
          <w:szCs w:val="20"/>
        </w:rPr>
        <w:t xml:space="preserve">  REACTION  =  G6P  AND  Isomerase</w:t>
      </w:r>
    </w:p>
    <w:p>
      <w:pPr>
        <w:spacing w:before="60" w:after="60"/>
      </w:pPr>
      <w:r>
        <w:rPr>
          <w:rFonts w:ascii="Courier New" w:cs="Courier New" w:eastAsia="Courier New" w:hAnsi="Courier New"/>
          <w:sz w:val="20"/>
          <w:szCs w:val="20"/>
        </w:rPr>
        <w:t xml:space="preserve">  F6P       =  REACTION   (buffered)</w:t>
      </w:r>
    </w:p>
    <w:p>
      <w:pPr>
        <w:spacing w:before="60" w:after="60"/>
      </w:pPr>
      <w:r>
        <w:rPr>
          <w:rFonts w:ascii="Courier New" w:cs="Courier New" w:eastAsia="Courier New" w:hAnsi="Courier New"/>
          <w:sz w:val="20"/>
          <w:szCs w:val="20"/>
        </w:rPr>
        <w:t xml:space="preserve">  LED       =  REACTION   (drives LED — isomerisation indicator)</w:t>
      </w:r>
    </w:p>
    <w:p>
      <w:r>
        <w:t xml:space="preserve"/>
      </w:r>
    </w:p>
    <w:p>
      <w:pPr>
        <w:spacing w:after="120"/>
      </w:pPr>
      <w:r>
        <w:rPr>
          <w:rFonts w:ascii="Arial" w:cs="Arial" w:eastAsia="Arial" w:hAnsi="Arial"/>
          <w:sz w:val="22"/>
          <w:szCs w:val="22"/>
        </w:rPr>
        <w:t xml:space="preserve">Both inputs must be HIGH. Note there is no ADP output in this step — no ATP is involved. The reversibility of the biological reaction is not directly modelled in the combinational circuit (it would require bidirectional logic), but can be discussed as a teaching point: removing the G6P input while F6P is present would, in biology, drive the reaction backward.</w:t>
      </w:r>
    </w:p>
    <w:p>
      <w:r>
        <w:t xml:space="preserve"/>
      </w:r>
    </w:p>
    <w:p>
      <w:pPr>
        <w:pStyle w:val="Heading2"/>
      </w:pPr>
      <w:r>
        <w:rPr>
          <w:rFonts w:ascii="Arial" w:cs="Arial" w:eastAsia="Arial" w:hAnsi="Arial"/>
          <w:b/>
          <w:bCs/>
          <w:sz w:val="26"/>
          <w:szCs w:val="26"/>
        </w:rPr>
        <w:t xml:space="preserve">5.  Text-Based Schematic</w:t>
      </w:r>
    </w:p>
    <w:p>
      <w:pPr>
        <w:spacing w:after="120"/>
      </w:pPr>
      <w:r>
        <w:rPr>
          <w:rFonts w:ascii="Arial" w:cs="Arial" w:eastAsia="Arial" w:hAnsi="Arial"/>
          <w:sz w:val="22"/>
          <w:szCs w:val="22"/>
        </w:rPr>
        <w:t xml:space="preserve">A simpler circuit than Step 1 — single AND gate, single buffered output, LED driver.</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00"/>
        <w:gridCol w:w="2400"/>
        <w:gridCol w:w="200"/>
        <w:gridCol w:w="5480"/>
      </w:tblGrid>
      <w:tr>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INPUTS</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LOGIC GATE</w:t>
            </w:r>
          </w:p>
        </w:tc>
        <w:tc>
          <w:tcPr>
            <w:tcBorders>
              <w:top w:val="none" w:color="FFFFFF" w:sz="0"/>
              <w:left w:val="none" w:color="FFFFFF" w:sz="0"/>
              <w:bottom w:val="none" w:color="FFFFFF" w:sz="0"/>
              <w:right w:val="none" w:color="FFFFFF" w:sz="0"/>
            </w:tcBorders>
          </w:tcPr>
          <w:p>
            <w:r>
              <w:t xml:space="preserve"/>
            </w:r>
          </w:p>
        </w:tc>
        <w:tc>
          <w:tcPr>
            <w:tcBorders>
              <w:top w:val="none" w:color="FFFFFF" w:sz="0"/>
              <w:left w:val="none" w:color="FFFFFF" w:sz="0"/>
              <w:bottom w:val="none" w:color="FFFFFF" w:sz="0"/>
              <w:right w:val="none" w:color="FFFFFF" w:sz="0"/>
            </w:tcBorders>
          </w:tcPr>
          <w:p>
            <w:r>
              <w:rPr>
                <w:rFonts w:ascii="Arial" w:cs="Arial" w:eastAsia="Arial" w:hAnsi="Arial"/>
                <w:b/>
                <w:bCs/>
                <w:color w:val="888888"/>
                <w:sz w:val="18"/>
                <w:szCs w:val="18"/>
              </w:rPr>
              <w:t xml:space="preserve">OUTPUTS</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G6P (← Step 1)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Isomerase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AND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[BUF] ──► F6P (→ Step 3)</w:t>
            </w:r>
          </w:p>
        </w:tc>
      </w:tr>
      <w:tr>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w:t>
            </w:r>
          </w:p>
        </w:tc>
        <w:tc>
          <w:tcPr>
            <w:tcBorders>
              <w:top w:val="none" w:color="FFFFFF" w:sz="0"/>
              <w:left w:val="none" w:color="FFFFFF" w:sz="0"/>
              <w:bottom w:val="none" w:color="FFFFFF" w:sz="0"/>
              <w:right w:val="none" w:color="FFFFFF" w:sz="0"/>
            </w:tcBorders>
          </w:tcPr>
          <w:p>
            <w:pPr>
              <w:spacing w:before="60" w:after="60"/>
            </w:pPr>
            <w:r>
              <w:rPr>
                <w:rFonts w:ascii="Courier New" w:cs="Courier New" w:eastAsia="Courier New" w:hAnsi="Courier New"/>
                <w:sz w:val="20"/>
                <w:szCs w:val="20"/>
              </w:rPr>
              <w:t xml:space="preserve">  └─► [LED] ──► Isomerisation active</w:t>
            </w:r>
          </w:p>
        </w:tc>
      </w:tr>
    </w:tbl>
    <w:p>
      <w:r>
        <w:t xml:space="preserve"/>
      </w:r>
    </w:p>
    <w:p>
      <w:pPr>
        <w:spacing w:after="120"/>
      </w:pPr>
      <w:r>
        <w:rPr>
          <w:rFonts w:ascii="Arial" w:cs="Arial" w:eastAsia="Arial" w:hAnsi="Arial"/>
          <w:sz w:val="22"/>
          <w:szCs w:val="22"/>
        </w:rPr>
        <w:t xml:space="preserve">The AND gate output fans out to two paths: a buffer driving F6P (which feeds Step 3), and an LED driver indicating the isomerisation is occurring.</w:t>
      </w:r>
    </w:p>
    <w:p>
      <w:r>
        <w:t xml:space="preserve"/>
      </w:r>
    </w:p>
    <w:p>
      <w:pPr>
        <w:pStyle w:val="Heading2"/>
      </w:pPr>
      <w:r>
        <w:rPr>
          <w:rFonts w:ascii="Arial" w:cs="Arial" w:eastAsia="Arial" w:hAnsi="Arial"/>
          <w:b/>
          <w:bCs/>
          <w:sz w:val="26"/>
          <w:szCs w:val="26"/>
        </w:rPr>
        <w:t xml:space="preserve">6.  Gate-Level Description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60"/>
        <w:gridCol w:w="1620"/>
        <w:gridCol w:w="1800"/>
        <w:gridCol w:w="1800"/>
        <w:gridCol w:w="360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Ref</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A</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Input B</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Isomerase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Isomerisation enable — both substrate and enzyme present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Drives F6P output to Step 3 — isolates gate load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Driver (NPN BJT)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 out via 1kΩ</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Visual indicator — isomerisation in progress</w:t>
            </w:r>
          </w:p>
        </w:tc>
      </w:tr>
    </w:tbl>
    <w:p>
      <w:r>
        <w:t xml:space="preserve"/>
      </w:r>
    </w:p>
    <w:p>
      <w:pPr>
        <w:pStyle w:val="Heading2"/>
      </w:pPr>
      <w:r>
        <w:rPr>
          <w:rFonts w:ascii="Arial" w:cs="Arial" w:eastAsia="Arial" w:hAnsi="Arial"/>
          <w:b/>
          <w:bCs/>
          <w:sz w:val="26"/>
          <w:szCs w:val="26"/>
        </w:rPr>
        <w:t xml:space="preserve">7.  Suggested IC Implementation (74HC Series)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2160"/>
        <w:gridCol w:w="2160"/>
        <w:gridCol w:w="3960"/>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IC / Component</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Used for</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Key connections</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74HC08 (shared)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Quad 2-input AND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AND1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Use spare gate from Step 1's 74HC08 — pins 9,10→8 or 12,13→11</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74HC244 (shared)</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Octal buffer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BUF1 (F6P)</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Use spare buffer channel from Step 1's 74HC244</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PN2222A</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NPN BJT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driver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Base: 1kΩ from AND1 out; Collector: LED → 330Ω → Vcc; Emitter: GND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LED (yellow)</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Isomerisation indicator</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Visual output</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Yellow distinguishes Step 2 from Step 1 green LED</w:t>
            </w:r>
          </w:p>
        </w:tc>
      </w:tr>
    </w:tbl>
    <w:p>
      <w:r>
        <w:t xml:space="preserve"/>
      </w:r>
    </w:p>
    <w:p>
      <w:pPr>
        <w:spacing w:after="120"/>
      </w:pPr>
      <w:r>
        <w:rPr>
          <w:rFonts w:ascii="Arial" w:cs="Arial" w:eastAsia="Arial" w:hAnsi="Arial"/>
          <w:sz w:val="22"/>
          <w:szCs w:val="22"/>
        </w:rPr>
        <w:t xml:space="preserve">Step 2 requires no additional logic ICs — both the AND gate and buffer can be taken from spare channels on the 74HC08 and 74HC244 already used in Step 1. Only a new BJT and LED are needed as new components. This makes Step 2 very low cost to add to the kit.</w:t>
      </w:r>
    </w:p>
    <w:p>
      <w:r>
        <w:t xml:space="preserve"/>
      </w:r>
    </w:p>
    <w:p>
      <w:pPr>
        <w:pStyle w:val="Heading2"/>
      </w:pPr>
      <w:r>
        <w:rPr>
          <w:rFonts w:ascii="Arial" w:cs="Arial" w:eastAsia="Arial" w:hAnsi="Arial"/>
          <w:b/>
          <w:bCs/>
          <w:sz w:val="26"/>
          <w:szCs w:val="26"/>
        </w:rPr>
        <w:t xml:space="preserve">8.  ATP Counter — Step 2</w:t>
      </w:r>
    </w:p>
    <w:p>
      <w:pPr>
        <w:spacing w:after="120"/>
      </w:pPr>
      <w:r>
        <w:rPr>
          <w:rFonts w:ascii="Arial" w:cs="Arial" w:eastAsia="Arial" w:hAnsi="Arial"/>
          <w:sz w:val="22"/>
          <w:szCs w:val="22"/>
        </w:rPr>
        <w:t xml:space="preserve">No ATP is consumed or produced in Step 2. The 74HC193 counter holds its current value. No connection from Step 2 logic to the counter clock is required.</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ATP Change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Net ATP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Counter Action</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Glucose → G6P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  ◄</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G6P → F6P</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  ◄</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3</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F6P → F1,6BP</w:t>
            </w:r>
          </w:p>
        </w:tc>
        <w:tc>
          <w:tcPr>
            <w:tcW w:type="auto" w:w="1"/>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Decrement</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4-5</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Splitting + isomerisation</w:t>
            </w:r>
          </w:p>
        </w:tc>
        <w:tc>
          <w:tcPr>
            <w:tcW w:type="auto" w:w="1"/>
            <w:tcBorders>
              <w:top w:val="single" w:color="AAAAAA" w:sz="1"/>
              <w:left w:val="single" w:color="AAAAAA" w:sz="1"/>
              <w:bottom w:val="single" w:color="AAAAAA" w:sz="1"/>
              <w:right w:val="single" w:color="AAAAAA" w:sz="1"/>
            </w:tcBorders>
            <w:shd w:fill="EDEDED"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 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Hold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6-9</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Payoff phase (x2 each)</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+4</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x4</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PEP → Pyruvate</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+2</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Increment x2</w:t>
            </w:r>
          </w:p>
        </w:tc>
      </w:tr>
    </w:tbl>
    <w:p>
      <w:r>
        <w:t xml:space="preserve"/>
      </w:r>
    </w:p>
    <w:p>
      <w:pPr>
        <w:pStyle w:val="Heading2"/>
      </w:pPr>
      <w:r>
        <w:rPr>
          <w:rFonts w:ascii="Arial" w:cs="Arial" w:eastAsia="Arial" w:hAnsi="Arial"/>
          <w:b/>
          <w:bCs/>
          <w:sz w:val="26"/>
          <w:szCs w:val="26"/>
        </w:rPr>
        <w:t xml:space="preserve">9.  Full Truth Table — Step 2</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G6P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Isomerase</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REACTION</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F6P</w:t>
            </w:r>
          </w:p>
        </w:tc>
        <w:tc>
          <w:tcPr>
            <w:tcBorders>
              <w:top w:val="single" w:color="AAAAAA" w:sz="1"/>
              <w:left w:val="single" w:color="AAAAAA" w:sz="1"/>
              <w:bottom w:val="single" w:color="AAAAAA" w:sz="1"/>
              <w:right w:val="single" w:color="AAAAAA"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LED</w:t>
            </w:r>
          </w:p>
        </w:tc>
      </w:tr>
      <w:tr>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bCs/>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bCs/>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bCs/>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0</w:t>
            </w:r>
          </w:p>
        </w:tc>
        <w:tc>
          <w:tcPr>
            <w:tcW w:type="auto" w:w="1"/>
            <w:tcBorders>
              <w:top w:val="single" w:color="AAAAAA" w:sz="1"/>
              <w:left w:val="single" w:color="AAAAAA" w:sz="1"/>
              <w:bottom w:val="single" w:color="AAAAAA" w:sz="1"/>
              <w:right w:val="single" w:color="AAAAAA" w:sz="1"/>
            </w:tcBorders>
            <w:shd w:fill="FFF9F0"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OFF</w:t>
            </w:r>
          </w:p>
        </w:tc>
      </w:tr>
      <w:tr>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bCs/>
                <w:sz w:val="20"/>
                <w:szCs w:val="20"/>
              </w:rPr>
              <w:t xml:space="preserve">1 ✓</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1</w:t>
            </w:r>
          </w:p>
        </w:tc>
        <w:tc>
          <w:tcPr>
            <w:tcW w:type="auto" w:w="1"/>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tcPr>
          <w:p>
            <w:r>
              <w:rPr>
                <w:rFonts w:ascii="Courier New" w:cs="Courier New" w:eastAsia="Courier New" w:hAnsi="Courier New"/>
                <w:b w:val="false"/>
                <w:bCs w:val="false"/>
                <w:sz w:val="20"/>
                <w:szCs w:val="20"/>
              </w:rPr>
              <w:t xml:space="preserve">ON  ✓</w:t>
            </w:r>
          </w:p>
        </w:tc>
      </w:tr>
    </w:tbl>
    <w:p>
      <w:r>
        <w:t xml:space="preserve"/>
      </w:r>
    </w:p>
    <w:p>
      <w:pPr>
        <w:spacing w:after="120"/>
      </w:pPr>
      <w:r>
        <w:rPr>
          <w:rFonts w:ascii="Arial" w:cs="Arial" w:eastAsia="Arial" w:hAnsi="Arial"/>
          <w:i/>
          <w:iCs/>
          <w:color w:val="555555"/>
          <w:sz w:val="22"/>
          <w:szCs w:val="22"/>
        </w:rPr>
        <w:t xml:space="preserve">The truth table is a straightforward 2-input AND. Rows 2 and 3 model two common failure modes: G6P absent (Step 1 has not completed) and enzyme inhibited (e.g. product inhibition from F6P accumulation).</w:t>
      </w:r>
    </w:p>
    <w:p>
      <w:r>
        <w:t xml:space="preserve"/>
      </w:r>
    </w:p>
    <w:p>
      <w:pPr>
        <w:pStyle w:val="Heading2"/>
      </w:pPr>
      <w:r>
        <w:rPr>
          <w:rFonts w:ascii="Arial" w:cs="Arial" w:eastAsia="Arial" w:hAnsi="Arial"/>
          <w:b/>
          <w:bCs/>
          <w:sz w:val="26"/>
          <w:szCs w:val="26"/>
        </w:rPr>
        <w:t xml:space="preserve">10.  Design Notes &amp; Pedagogical Callouts</w:t>
      </w:r>
    </w:p>
    <w:p>
      <w:pPr>
        <w:spacing w:after="120"/>
      </w:pPr>
      <w:r>
        <w:rPr>
          <w:rFonts w:ascii="Arial" w:cs="Arial" w:eastAsia="Arial" w:hAnsi="Arial"/>
          <w:sz w:val="22"/>
          <w:szCs w:val="22"/>
        </w:rPr>
        <w:t xml:space="preserve">Reversibility: The biological reaction is reversible (G6P ⇌ F6P), controlled by mass action — whichever side has more substrate drives the equilibrium. In the circuit, this is represented by reminding students that if the G6P input drops LOW (Step 1 stops), the F6P output also drops, which in biology would drive the reaction back toward G6P. A classroom discussion point, not a circuit modification needed.</w:t>
      </w:r>
    </w:p>
    <w:p>
      <w:r>
        <w:t xml:space="preserve"/>
      </w:r>
    </w:p>
    <w:p>
      <w:pPr>
        <w:spacing w:after="120"/>
      </w:pPr>
      <w:r>
        <w:rPr>
          <w:rFonts w:ascii="Arial" w:cs="Arial" w:eastAsia="Arial" w:hAnsi="Arial"/>
          <w:sz w:val="22"/>
          <w:szCs w:val="22"/>
        </w:rPr>
        <w:t xml:space="preserve">LED colour coding: Using a different LED colour per step (e.g. green for Step 1, yellow for Step 2, orange for Step 3...) gives students an immediate visual map of which step is active across the full kit. A colour legend poster alongside the board reinforces this.</w:t>
      </w:r>
    </w:p>
    <w:p>
      <w:r>
        <w:t xml:space="preserve"/>
      </w:r>
    </w:p>
    <w:p>
      <w:pPr>
        <w:spacing w:after="120"/>
      </w:pPr>
      <w:r>
        <w:rPr>
          <w:rFonts w:ascii="Arial" w:cs="Arial" w:eastAsia="Arial" w:hAnsi="Arial"/>
          <w:sz w:val="22"/>
          <w:szCs w:val="22"/>
        </w:rPr>
        <w:t xml:space="preserve">Enzyme switch: Wire the Isomerase input to a DIP switch. Toggling it OFF models competitive inhibition of PGI — some drugs and metabolic intermediates inhibit this enzyme, causing G6P to accumulate. Students see F6P drop to zero instantly, and can discuss the downstream consequences for Step 3.</w:t>
      </w:r>
    </w:p>
    <w:p>
      <w:r>
        <w:t xml:space="preserve"/>
      </w:r>
    </w:p>
    <w:p>
      <w:pPr>
        <w:spacing w:after="120"/>
      </w:pPr>
      <w:r>
        <w:rPr>
          <w:rFonts w:ascii="Arial" w:cs="Arial" w:eastAsia="Arial" w:hAnsi="Arial"/>
          <w:sz w:val="22"/>
          <w:szCs w:val="22"/>
        </w:rPr>
        <w:t xml:space="preserve">Inter-step connection: The F6P output (BUF1) should connect directly to the G6P input pin on Step 3's AND gate via a short wire link or header connector. This physical chaining of boards makes the metabolic pathway tangible.</w:t>
      </w:r>
    </w:p>
    <w:p>
      <w:r>
        <w:t xml:space="preserve"/>
      </w:r>
    </w:p>
    <w:p>
      <w:pPr>
        <w:spacing w:after="120"/>
      </w:pPr>
      <w:r>
        <w:rPr>
          <w:rFonts w:ascii="Arial" w:cs="Arial" w:eastAsia="Arial" w:hAnsi="Arial"/>
          <w:sz w:val="22"/>
          <w:szCs w:val="22"/>
        </w:rPr>
        <w:t xml:space="preserve">Next step: Step 3 — Phosphofructokinase-1 (PFK-1) phosphorylates F6P using one ATP to produce Fructose-1,6-Bisphosphate (F1,6BP). This is the key regulatory step of glycolysis and the second ATP investment. Circuit will resemble Step 1 in structure.</w:t>
      </w:r>
    </w:p>
    <w:p>
      <w:r>
        <w:t xml:space="preserve"/>
      </w:r>
    </w:p>
    <w:p>
      <w:pPr>
        <w:pBdr>
          <w:top w:val="single" w:color="CCCCCC" w:sz="4" w:space="1"/>
        </w:pBdr>
        <w:spacing w:before="240"/>
        <w:jc w:val="center"/>
      </w:pPr>
      <w:r>
        <w:rPr>
          <w:rFonts w:ascii="Arial" w:cs="Arial" w:eastAsia="Arial" w:hAnsi="Arial"/>
          <w:i/>
          <w:iCs/>
          <w:color w:val="AAAAAA"/>
          <w:sz w:val="18"/>
          <w:szCs w:val="18"/>
        </w:rPr>
        <w:t xml:space="preserve">Glycolysis Logic Kit · Step 2/10 · For educational use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5276"/>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1F618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2026-02-26T11:26:14.106Z</dcterms:created>
  <dcterms:modified xsi:type="dcterms:W3CDTF">2026-02-26T11:26:14.107Z</dcterms:modified>
</cp:coreProperties>
</file>

<file path=docProps/custom.xml><?xml version="1.0" encoding="utf-8"?>
<Properties xmlns="http://schemas.openxmlformats.org/officeDocument/2006/custom-properties" xmlns:vt="http://schemas.openxmlformats.org/officeDocument/2006/docPropsVTypes"/>
</file>