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5276"/>
          <w:sz w:val="40"/>
          <w:szCs w:val="40"/>
        </w:rPr>
        <w:t xml:space="preserve">Glycolysis Logic Gate Educational Kit</w:t>
      </w:r>
    </w:p>
    <w:p>
      <w:pPr>
        <w:spacing w:after="60"/>
        <w:jc w:val="center"/>
      </w:pPr>
      <w:r>
        <w:rPr>
          <w:rFonts w:ascii="Arial" w:cs="Arial" w:eastAsia="Arial" w:hAnsi="Arial"/>
          <w:color w:val="555555"/>
          <w:sz w:val="26"/>
          <w:szCs w:val="26"/>
        </w:rPr>
        <w:t xml:space="preserve">Step 3 of 10  ·  Fructose-6-Phosphate → Fructose-1,6-Bisphosphate (F-1,6-BP)</w:t>
      </w:r>
    </w:p>
    <w:p>
      <w:pPr>
        <w:pBdr>
          <w:bottom w:val="single" w:color="1A5276" w:sz="6" w:space="1"/>
        </w:pBdr>
        <w:spacing w:after="240"/>
        <w:jc w:val="center"/>
      </w:pPr>
      <w:r>
        <w:rPr>
          <w:rFonts w:ascii="Arial" w:cs="Arial" w:eastAsia="Arial" w:hAnsi="Arial"/>
          <w:i/>
          <w:iCs/>
          <w:color w:val="888888"/>
          <w:sz w:val="22"/>
          <w:szCs w:val="22"/>
        </w:rPr>
        <w:t xml:space="preserve">Enzyme: Phosphofructokinase-1 (PFK-1)  ·  ATP change: -1  ·  Net reaction: F6P + ATP → F-1,6-BP + ADP</w:t>
      </w:r>
    </w:p>
    <w:p>
      <w:pPr>
        <w:pStyle w:val="Heading2"/>
      </w:pPr>
      <w:r>
        <w:rPr>
          <w:rFonts w:ascii="Arial" w:cs="Arial" w:eastAsia="Arial" w:hAnsi="Arial"/>
          <w:b/>
          <w:bCs/>
          <w:sz w:val="26"/>
          <w:szCs w:val="26"/>
        </w:rPr>
        <w:t xml:space="preserve">1.  Biochemical Context</w:t>
      </w:r>
    </w:p>
    <w:p>
      <w:pPr>
        <w:spacing w:after="120"/>
      </w:pPr>
      <w:r>
        <w:rPr>
          <w:rFonts w:ascii="Arial" w:cs="Arial" w:eastAsia="Arial" w:hAnsi="Arial"/>
          <w:sz w:val="22"/>
          <w:szCs w:val="22"/>
        </w:rPr>
        <w:t xml:space="preserve">Step 3 is catalysed by Phosphofructokinase-1 (PFK-1), which transfers a phosphate group from ATP to the C1 position of Fructose-6-Phosphate, producing Fructose-1,6-Bisphosphate (F-1,6-BP) and ADP. This is the second and final ATP investment of glycolysis.</w:t>
      </w:r>
    </w:p>
    <w:p>
      <w:pPr>
        <w:spacing w:after="120"/>
      </w:pPr>
      <w:r>
        <w:rPr>
          <w:rFonts w:ascii="Arial" w:cs="Arial" w:eastAsia="Arial" w:hAnsi="Arial"/>
          <w:sz w:val="22"/>
          <w:szCs w:val="22"/>
        </w:rPr>
        <w:t xml:space="preserve">This step is the most important regulatory checkpoint in the entire pathway. Unlike Step 1 (hexokinase), which is mildly reversible and regulated by product inhibition, PFK-1 is essentially irreversible under physiological conditions and is subject to complex allosteric regulation — activated by AMP and F-2,6-BP, inhibited by ATP and citrate. Once this step fires, the cell is fully committed to completing glycolysis.</w:t>
      </w:r>
    </w:p>
    <w:p>
      <w:pPr>
        <w:spacing w:after="120"/>
      </w:pPr>
      <w:r>
        <w:rPr>
          <w:rFonts w:ascii="Arial" w:cs="Arial" w:eastAsia="Arial" w:hAnsi="Arial"/>
          <w:sz w:val="22"/>
          <w:szCs w:val="22"/>
        </w:rPr>
        <w:t xml:space="preserve">The two-LED design in the circuit directly reflects this biology:</w:t>
      </w:r>
    </w:p>
    <w:p>
      <w:pPr>
        <w:spacing w:after="120"/>
      </w:pPr>
      <w:r>
        <w:rPr>
          <w:rFonts w:ascii="Arial" w:cs="Arial" w:eastAsia="Arial" w:hAnsi="Arial"/>
          <w:i/>
          <w:iCs/>
          <w:sz w:val="22"/>
          <w:szCs w:val="22"/>
        </w:rPr>
        <w:t xml:space="preserve">  • Committed LED — the reaction has been initiated and resources spent</w:t>
      </w:r>
    </w:p>
    <w:p>
      <w:pPr>
        <w:spacing w:after="120"/>
      </w:pPr>
      <w:r>
        <w:rPr>
          <w:rFonts w:ascii="Arial" w:cs="Arial" w:eastAsia="Arial" w:hAnsi="Arial"/>
          <w:i/>
          <w:iCs/>
          <w:sz w:val="22"/>
          <w:szCs w:val="22"/>
        </w:rPr>
        <w:t xml:space="preserve">  • No Return LED — the reaction cannot reverse; the pathway must proceed forward</w:t>
      </w:r>
    </w:p>
    <w:p>
      <w:pPr>
        <w:spacing w:after="120"/>
      </w:pPr>
      <w:r>
        <w:rPr>
          <w:rFonts w:ascii="Arial" w:cs="Arial" w:eastAsia="Arial" w:hAnsi="Arial"/>
          <w:sz w:val="22"/>
          <w:szCs w:val="22"/>
        </w:rPr>
        <w:t xml:space="preserve">Three conditions must all be true:</w:t>
      </w:r>
    </w:p>
    <w:p>
      <w:pPr>
        <w:spacing w:after="120"/>
      </w:pPr>
      <w:r>
        <w:rPr>
          <w:rFonts w:ascii="Arial" w:cs="Arial" w:eastAsia="Arial" w:hAnsi="Arial"/>
          <w:i/>
          <w:iCs/>
          <w:sz w:val="22"/>
          <w:szCs w:val="22"/>
        </w:rPr>
        <w:t xml:space="preserve">  • F6P is present (product of Step 2)</w:t>
      </w:r>
    </w:p>
    <w:p>
      <w:pPr>
        <w:spacing w:after="120"/>
      </w:pPr>
      <w:r>
        <w:rPr>
          <w:rFonts w:ascii="Arial" w:cs="Arial" w:eastAsia="Arial" w:hAnsi="Arial"/>
          <w:i/>
          <w:iCs/>
          <w:sz w:val="22"/>
          <w:szCs w:val="22"/>
        </w:rPr>
        <w:t xml:space="preserve">  • ATP is available (second energy investment)</w:t>
      </w:r>
    </w:p>
    <w:p>
      <w:pPr>
        <w:spacing w:after="120"/>
      </w:pPr>
      <w:r>
        <w:rPr>
          <w:rFonts w:ascii="Arial" w:cs="Arial" w:eastAsia="Arial" w:hAnsi="Arial"/>
          <w:i/>
          <w:iCs/>
          <w:sz w:val="22"/>
          <w:szCs w:val="22"/>
        </w:rPr>
        <w:t xml:space="preserve">  • PFK-1 enzyme is active (not inhibited)</w:t>
      </w:r>
    </w:p>
    <w:p>
      <w:r>
        <w:t xml:space="preserve"/>
      </w:r>
    </w:p>
    <w:p>
      <w:pPr>
        <w:pStyle w:val="Heading2"/>
      </w:pPr>
      <w:r>
        <w:rPr>
          <w:rFonts w:ascii="Arial" w:cs="Arial" w:eastAsia="Arial" w:hAnsi="Arial"/>
          <w:b/>
          <w:bCs/>
          <w:sz w:val="26"/>
          <w:szCs w:val="26"/>
        </w:rPr>
        <w:t xml:space="preserve">2.  Comparison with Step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Step 1 (Hexokinase)</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Step 3 (PFK-1)</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Substrate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Glucose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F6P</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ATP consumed</w:t>
            </w:r>
          </w:p>
        </w:tc>
        <w:tc>
          <w:tcPr>
            <w:tcW w:type="auto" w:w="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Gate structure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AND1 + AND2 cascade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AND1 + AND2 cascade</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Products</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G6P + ADP</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F-1,6-BP + ADP</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LEDs</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1x Trapped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2x Committed + No Return</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Reversible?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No</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No (more strongly irreversible)</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Regulatory importance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Moderate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Primary control point of glycolysis</w:t>
            </w:r>
          </w:p>
        </w:tc>
      </w:tr>
    </w:tbl>
    <w:p>
      <w:r>
        <w:t xml:space="preserve"/>
      </w:r>
    </w:p>
    <w:p>
      <w:pPr>
        <w:pStyle w:val="Heading2"/>
      </w:pPr>
      <w:r>
        <w:rPr>
          <w:rFonts w:ascii="Arial" w:cs="Arial" w:eastAsia="Arial" w:hAnsi="Arial"/>
          <w:b/>
          <w:bCs/>
          <w:sz w:val="26"/>
          <w:szCs w:val="26"/>
        </w:rPr>
        <w:t xml:space="preserve">3.  Logic Signal Mapping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Represents</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Logic 1 (HIGH)</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Logic 0 (LOW)</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F6P</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Substrate (from Step 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F6P present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No F6P</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ATP</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Energy input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ATP available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ATP depleted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PFK Enable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Enzyme enable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PFK-1 active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PFK-1 inhibited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REACTION</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AND2 output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Phosphorylation occurs</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Reaction blocked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F-1,6-BP</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Primary product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F-1,6-BP produced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No F-1,6-BP</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ADP</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By-product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ADP released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No ADP</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Committed LED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Reaction initiated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ON — resources spent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No Return LED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Irreversibility flag</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ON — pathway committed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r>
    </w:tbl>
    <w:p>
      <w:r>
        <w:t xml:space="preserve"/>
      </w:r>
    </w:p>
    <w:p>
      <w:pPr>
        <w:pStyle w:val="Heading2"/>
      </w:pPr>
      <w:r>
        <w:rPr>
          <w:rFonts w:ascii="Arial" w:cs="Arial" w:eastAsia="Arial" w:hAnsi="Arial"/>
          <w:b/>
          <w:bCs/>
          <w:sz w:val="26"/>
          <w:szCs w:val="26"/>
        </w:rPr>
        <w:t xml:space="preserve">4.  Boolean Logic Expression</w:t>
      </w:r>
    </w:p>
    <w:p>
      <w:pPr>
        <w:spacing w:after="120"/>
      </w:pPr>
      <w:r>
        <w:rPr>
          <w:rFonts w:ascii="Arial" w:cs="Arial" w:eastAsia="Arial" w:hAnsi="Arial"/>
          <w:sz w:val="22"/>
          <w:szCs w:val="22"/>
        </w:rPr>
        <w:t xml:space="preserve">The circuit implements the following logic:</w:t>
      </w:r>
    </w:p>
    <w:p>
      <w:r>
        <w:t xml:space="preserve"/>
      </w:r>
    </w:p>
    <w:p>
      <w:pPr>
        <w:spacing w:before="60" w:after="60"/>
      </w:pPr>
      <w:r>
        <w:rPr>
          <w:rFonts w:ascii="Courier New" w:cs="Courier New" w:eastAsia="Courier New" w:hAnsi="Courier New"/>
          <w:sz w:val="20"/>
          <w:szCs w:val="20"/>
        </w:rPr>
        <w:t xml:space="preserve">  AND1      =  F6P  AND  ATP</w:t>
      </w:r>
    </w:p>
    <w:p>
      <w:pPr>
        <w:spacing w:before="60" w:after="60"/>
      </w:pPr>
      <w:r>
        <w:rPr>
          <w:rFonts w:ascii="Courier New" w:cs="Courier New" w:eastAsia="Courier New" w:hAnsi="Courier New"/>
          <w:sz w:val="20"/>
          <w:szCs w:val="20"/>
        </w:rPr>
        <w:t xml:space="preserve">  REACTION  =  AND1  AND  PFK_Enable         (AND2)</w:t>
      </w:r>
    </w:p>
    <w:p>
      <w:pPr>
        <w:spacing w:before="60" w:after="60"/>
      </w:pPr>
      <w:r>
        <w:rPr>
          <w:rFonts w:ascii="Courier New" w:cs="Courier New" w:eastAsia="Courier New" w:hAnsi="Courier New"/>
          <w:sz w:val="20"/>
          <w:szCs w:val="20"/>
        </w:rPr>
        <w:t xml:space="preserve"/>
      </w:r>
    </w:p>
    <w:p>
      <w:pPr>
        <w:spacing w:before="60" w:after="60"/>
      </w:pPr>
      <w:r>
        <w:rPr>
          <w:rFonts w:ascii="Courier New" w:cs="Courier New" w:eastAsia="Courier New" w:hAnsi="Courier New"/>
          <w:sz w:val="20"/>
          <w:szCs w:val="20"/>
        </w:rPr>
        <w:t xml:space="preserve">  F-1,6-BP  =  REACTION   (buffered)</w:t>
      </w:r>
    </w:p>
    <w:p>
      <w:pPr>
        <w:spacing w:before="60" w:after="60"/>
      </w:pPr>
      <w:r>
        <w:rPr>
          <w:rFonts w:ascii="Courier New" w:cs="Courier New" w:eastAsia="Courier New" w:hAnsi="Courier New"/>
          <w:sz w:val="20"/>
          <w:szCs w:val="20"/>
        </w:rPr>
        <w:t xml:space="preserve">  ADP       =  REACTION   (buffered)</w:t>
      </w:r>
    </w:p>
    <w:p>
      <w:pPr>
        <w:spacing w:before="60" w:after="60"/>
      </w:pPr>
      <w:r>
        <w:rPr>
          <w:rFonts w:ascii="Courier New" w:cs="Courier New" w:eastAsia="Courier New" w:hAnsi="Courier New"/>
          <w:sz w:val="20"/>
          <w:szCs w:val="20"/>
        </w:rPr>
        <w:t xml:space="preserve">  LED_Committed  =  REACTION   (LED driver Q1)</w:t>
      </w:r>
    </w:p>
    <w:p>
      <w:pPr>
        <w:spacing w:before="60" w:after="60"/>
      </w:pPr>
      <w:r>
        <w:rPr>
          <w:rFonts w:ascii="Courier New" w:cs="Courier New" w:eastAsia="Courier New" w:hAnsi="Courier New"/>
          <w:sz w:val="20"/>
          <w:szCs w:val="20"/>
        </w:rPr>
        <w:t xml:space="preserve">  LED_NoReturn   =  REACTION   (LED driver Q2)</w:t>
      </w:r>
    </w:p>
    <w:p>
      <w:r>
        <w:t xml:space="preserve"/>
      </w:r>
    </w:p>
    <w:p>
      <w:pPr>
        <w:spacing w:after="120"/>
      </w:pPr>
      <w:r>
        <w:rPr>
          <w:rFonts w:ascii="Arial" w:cs="Arial" w:eastAsia="Arial" w:hAnsi="Arial"/>
          <w:sz w:val="22"/>
          <w:szCs w:val="22"/>
        </w:rPr>
        <w:t xml:space="preserve">All four outputs are driven by the same AND2 output. The two LEDs fire simultaneously — there is no distinction in the logic between them. Their separation is purely pedagogical: two physical LEDs with two different labels make the dual message (commitment + irreversibility) more visually impactful than a single LED would.</w:t>
      </w:r>
    </w:p>
    <w:p>
      <w:r>
        <w:t xml:space="preserve"/>
      </w:r>
    </w:p>
    <w:p>
      <w:pPr>
        <w:pStyle w:val="Heading2"/>
      </w:pPr>
      <w:r>
        <w:rPr>
          <w:rFonts w:ascii="Arial" w:cs="Arial" w:eastAsia="Arial" w:hAnsi="Arial"/>
          <w:b/>
          <w:bCs/>
          <w:sz w:val="26"/>
          <w:szCs w:val="26"/>
        </w:rPr>
        <w:t xml:space="preserve">5.  Text-Based Schematic</w:t>
      </w:r>
    </w:p>
    <w:p>
      <w:pPr>
        <w:spacing w:after="120"/>
      </w:pPr>
      <w:r>
        <w:rPr>
          <w:rFonts w:ascii="Arial" w:cs="Arial" w:eastAsia="Arial" w:hAnsi="Arial"/>
          <w:sz w:val="22"/>
          <w:szCs w:val="22"/>
        </w:rPr>
        <w:t xml:space="preserve">Identical cascade structure to Step 1, but AND2 fans out to four outputs instead of three.</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60"/>
        <w:gridCol w:w="1900"/>
        <w:gridCol w:w="160"/>
        <w:gridCol w:w="2060"/>
        <w:gridCol w:w="160"/>
        <w:gridCol w:w="3840"/>
      </w:tblGrid>
      <w:tr>
        <w:tc>
          <w:tcPr>
            <w:tcBorders>
              <w:top w:val="none" w:color="FFFFFF" w:sz="0"/>
              <w:left w:val="none" w:color="FFFFFF" w:sz="0"/>
              <w:bottom w:val="none" w:color="FFFFFF" w:sz="0"/>
              <w:right w:val="none" w:color="FFFFFF" w:sz="0"/>
            </w:tcBorders>
          </w:tcPr>
          <w:p>
            <w:r>
              <w:rPr>
                <w:rFonts w:ascii="Arial" w:cs="Arial" w:eastAsia="Arial" w:hAnsi="Arial"/>
                <w:b/>
                <w:bCs/>
                <w:color w:val="888888"/>
                <w:sz w:val="18"/>
                <w:szCs w:val="18"/>
              </w:rPr>
              <w:t xml:space="preserve">INPUTS</w:t>
            </w:r>
          </w:p>
        </w:tc>
        <w:tc>
          <w:tcPr>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Pr>
          <w:p>
            <w:r>
              <w:rPr>
                <w:rFonts w:ascii="Arial" w:cs="Arial" w:eastAsia="Arial" w:hAnsi="Arial"/>
                <w:b/>
                <w:bCs/>
                <w:color w:val="888888"/>
                <w:sz w:val="18"/>
                <w:szCs w:val="18"/>
              </w:rPr>
              <w:t xml:space="preserve">STAGE 1</w:t>
            </w:r>
          </w:p>
        </w:tc>
        <w:tc>
          <w:tcPr>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Pr>
          <w:p>
            <w:r>
              <w:rPr>
                <w:rFonts w:ascii="Arial" w:cs="Arial" w:eastAsia="Arial" w:hAnsi="Arial"/>
                <w:b/>
                <w:bCs/>
                <w:color w:val="888888"/>
                <w:sz w:val="18"/>
                <w:szCs w:val="18"/>
              </w:rPr>
              <w:t xml:space="preserve">STAGE 2</w:t>
            </w:r>
          </w:p>
        </w:tc>
        <w:tc>
          <w:tcPr>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Pr>
          <w:p>
            <w:r>
              <w:rPr>
                <w:rFonts w:ascii="Arial" w:cs="Arial" w:eastAsia="Arial" w:hAnsi="Arial"/>
                <w:b/>
                <w:bCs/>
                <w:color w:val="888888"/>
                <w:sz w:val="18"/>
                <w:szCs w:val="18"/>
              </w:rPr>
              <w:t xml:space="preserve">OUTPUTS</w:t>
            </w:r>
          </w:p>
        </w:tc>
      </w:tr>
      <w:tr>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F6P (← Step 2)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r>
      <w:tr>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ATP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AND1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r>
      <w:tr>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PFK Enable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AND2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[BUF] ──► F-1,6-BP (→ Step 4)</w:t>
            </w:r>
          </w:p>
        </w:tc>
      </w:tr>
      <w:tr>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(AND1 out)</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 [BUF] ──► ADP</w:t>
            </w:r>
          </w:p>
        </w:tc>
      </w:tr>
      <w:tr>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 [Q1/LED] ──► Committed</w:t>
            </w:r>
          </w:p>
        </w:tc>
      </w:tr>
      <w:tr>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 [Q2/LED] ──► No Return</w:t>
            </w:r>
          </w:p>
        </w:tc>
      </w:tr>
    </w:tbl>
    <w:p>
      <w:r>
        <w:t xml:space="preserve"/>
      </w:r>
    </w:p>
    <w:p>
      <w:pPr>
        <w:spacing w:after="120"/>
      </w:pPr>
      <w:r>
        <w:rPr>
          <w:rFonts w:ascii="Arial" w:cs="Arial" w:eastAsia="Arial" w:hAnsi="Arial"/>
          <w:sz w:val="22"/>
          <w:szCs w:val="22"/>
        </w:rPr>
        <w:t xml:space="preserve">AND1 checks substrate + energy (F6P AND ATP). AND2 adds enzyme gating (AND1 AND PFK Enable). AND2 output fans to four loads: two buffered logic outputs (F-1,6-BP, ADP) and two LED drivers (Committed, No Return). Both LEDs fire and extinguish together.</w:t>
      </w:r>
    </w:p>
    <w:p>
      <w:r>
        <w:t xml:space="preserve"/>
      </w:r>
    </w:p>
    <w:p>
      <w:pPr>
        <w:pStyle w:val="Heading2"/>
      </w:pPr>
      <w:r>
        <w:rPr>
          <w:rFonts w:ascii="Arial" w:cs="Arial" w:eastAsia="Arial" w:hAnsi="Arial"/>
          <w:b/>
          <w:bCs/>
          <w:sz w:val="26"/>
          <w:szCs w:val="26"/>
        </w:rPr>
        <w:t xml:space="preserve">6.  Gate-Level Description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80"/>
        <w:gridCol w:w="1440"/>
        <w:gridCol w:w="1800"/>
        <w:gridCol w:w="1800"/>
        <w:gridCol w:w="3960"/>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Ref</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Input A</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Input B</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2-input AND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F6P</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ATP</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Substrate + energy co-presence check</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2-input AND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AND1 out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PFK Enable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Full reaction enable — all three conditions met</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BUF1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Buffer</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AND2 out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Drives F-1,6-BP output to Step 4</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BUF2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Buffer</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AND2 out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Drives ADP output</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Q1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NPN BJT (PN2222)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AND2 out via 1kΩ</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Committed LED driver</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Q2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NPN BJT (PN2222)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AND2 out via 1kΩ</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No Return LED driver</w:t>
            </w:r>
          </w:p>
        </w:tc>
      </w:tr>
    </w:tbl>
    <w:p>
      <w:r>
        <w:t xml:space="preserve"/>
      </w:r>
    </w:p>
    <w:p>
      <w:pPr>
        <w:pStyle w:val="Heading2"/>
      </w:pPr>
      <w:r>
        <w:rPr>
          <w:rFonts w:ascii="Arial" w:cs="Arial" w:eastAsia="Arial" w:hAnsi="Arial"/>
          <w:b/>
          <w:bCs/>
          <w:sz w:val="26"/>
          <w:szCs w:val="26"/>
        </w:rPr>
        <w:t xml:space="preserve">7.  Suggested IC Implementation (74HC Series, 5V rail)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160"/>
        <w:gridCol w:w="3960"/>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IC / Component</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Used for</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Key connections</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74HC08</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Quad 2-input AND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AND1, AND2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AND1: pins 1,2→3; AND2: pins 4,5→6; 2 gates spare</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74HC244</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Octal buffer</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BUF1 (F-1,6-BP), BUF2 (ADP)</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Two channels used; remaining spare for later steps</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PN2222A (x2)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NPN BJT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Q1 Committed, Q2 No Return</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Base: 1kΩ from AND2 out; Collector: LED → 330Ω → Vcc</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LED orange (x1)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Committed indicator</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Q1 load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Orange — reaction has started, ATP spent</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LED red (x1)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No Return indicator</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Q2 load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Red — irreversible, pathway locked in</w:t>
            </w:r>
          </w:p>
        </w:tc>
      </w:tr>
    </w:tbl>
    <w:p>
      <w:r>
        <w:t xml:space="preserve"/>
      </w:r>
    </w:p>
    <w:p>
      <w:pPr>
        <w:spacing w:after="120"/>
      </w:pPr>
      <w:r>
        <w:rPr>
          <w:rFonts w:ascii="Arial" w:cs="Arial" w:eastAsia="Arial" w:hAnsi="Arial"/>
          <w:sz w:val="22"/>
          <w:szCs w:val="22"/>
        </w:rPr>
        <w:t xml:space="preserve">Fan-out note: AND2 drives four loads simultaneously (BUF1, BUF2, Q1 base, Q2 base). Each BJT base draws ~2.5mA through the 1kΩ resistor; each buffer input draws negligible current. Total AND2 output load is well within 74HC fan-out capability (~25mA). No line driver needed.</w:t>
      </w:r>
    </w:p>
    <w:p>
      <w:r>
        <w:t xml:space="preserve"/>
      </w:r>
    </w:p>
    <w:p>
      <w:pPr>
        <w:pStyle w:val="Heading2"/>
      </w:pPr>
      <w:r>
        <w:rPr>
          <w:rFonts w:ascii="Arial" w:cs="Arial" w:eastAsia="Arial" w:hAnsi="Arial"/>
          <w:b/>
          <w:bCs/>
          <w:sz w:val="26"/>
          <w:szCs w:val="26"/>
        </w:rPr>
        <w:t xml:space="preserve">8.  LED Colour Rationale — Step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5040"/>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LED</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Suggested Colour</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Pedagogical Reason</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Committed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Orange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Warm colour signals caution — resources are now spent, decision made</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No Return</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Red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Red signals irreversibility — this cannot be undone, pathway committed</w:t>
            </w:r>
          </w:p>
        </w:tc>
      </w:tr>
    </w:tbl>
    <w:p>
      <w:r>
        <w:t xml:space="preserve"/>
      </w:r>
    </w:p>
    <w:p>
      <w:pPr>
        <w:spacing w:after="120"/>
      </w:pPr>
      <w:r>
        <w:rPr>
          <w:rFonts w:ascii="Arial" w:cs="Arial" w:eastAsia="Arial" w:hAnsi="Arial"/>
          <w:sz w:val="22"/>
          <w:szCs w:val="22"/>
        </w:rPr>
        <w:t xml:space="preserve">Having two physically separate LEDs with distinct colours and labels is more effective than a single LED here. Students can point to each one and articulate what it means independently — a useful prompt for class discussion about metabolic commitment and regulatory control.</w:t>
      </w:r>
    </w:p>
    <w:p>
      <w:r>
        <w:t xml:space="preserve"/>
      </w:r>
    </w:p>
    <w:p>
      <w:pPr>
        <w:pStyle w:val="Heading2"/>
      </w:pPr>
      <w:r>
        <w:rPr>
          <w:rFonts w:ascii="Arial" w:cs="Arial" w:eastAsia="Arial" w:hAnsi="Arial"/>
          <w:b/>
          <w:bCs/>
          <w:sz w:val="26"/>
          <w:szCs w:val="26"/>
        </w:rPr>
        <w:t xml:space="preserve">9.  ATP Counter — Step 3</w:t>
      </w:r>
    </w:p>
    <w:p>
      <w:pPr>
        <w:spacing w:after="120"/>
      </w:pPr>
      <w:r>
        <w:rPr>
          <w:rFonts w:ascii="Arial" w:cs="Arial" w:eastAsia="Arial" w:hAnsi="Arial"/>
          <w:sz w:val="22"/>
          <w:szCs w:val="22"/>
        </w:rPr>
        <w:t xml:space="preserve">Step 3 consumes 1 ATP — the second and final investment of the preparatory phase. Wire AND2 output to the count-down clock (CD) of the 74HC193, same as Step 1.</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Reaction</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ATP Change</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Net ATP</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Counter Action</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Glucose → G6P</w:t>
            </w:r>
          </w:p>
        </w:tc>
        <w:tc>
          <w:tcPr>
            <w:tcW w:type="auto" w:w="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Decrement</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G6P → F6P</w:t>
            </w:r>
          </w:p>
        </w:tc>
        <w:tc>
          <w:tcPr>
            <w:tcW w:type="auto" w:w="1"/>
            <w:tcBorders>
              <w:top w:val="single" w:color="AAAAAA" w:sz="1"/>
              <w:left w:val="single" w:color="AAAAAA" w:sz="1"/>
              <w:bottom w:val="single" w:color="AAAAAA" w:sz="1"/>
              <w:right w:val="single" w:color="AAAAAA" w:sz="1"/>
            </w:tcBorders>
            <w:shd w:fill="EDEDED"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 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Hold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3  ◄</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F6P → F-1,6-BP</w:t>
            </w:r>
          </w:p>
        </w:tc>
        <w:tc>
          <w:tcPr>
            <w:tcW w:type="auto" w:w="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DECREMENT  ◄</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4-5</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Splitting + isomerisation</w:t>
            </w:r>
          </w:p>
        </w:tc>
        <w:tc>
          <w:tcPr>
            <w:tcW w:type="auto" w:w="1"/>
            <w:tcBorders>
              <w:top w:val="single" w:color="AAAAAA" w:sz="1"/>
              <w:left w:val="single" w:color="AAAAAA" w:sz="1"/>
              <w:bottom w:val="single" w:color="AAAAAA" w:sz="1"/>
              <w:right w:val="single" w:color="AAAAAA" w:sz="1"/>
            </w:tcBorders>
            <w:shd w:fill="EDEDED"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 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Hold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6-9</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Payoff phase (x2 each)</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+4</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Increment x4</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PEP → Pyruvate</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Increment x2</w:t>
            </w:r>
          </w:p>
        </w:tc>
      </w:tr>
    </w:tbl>
    <w:p>
      <w:r>
        <w:t xml:space="preserve"/>
      </w:r>
    </w:p>
    <w:p>
      <w:pPr>
        <w:spacing w:after="120"/>
      </w:pPr>
      <w:r>
        <w:rPr>
          <w:rFonts w:ascii="Arial" w:cs="Arial" w:eastAsia="Arial" w:hAnsi="Arial"/>
          <w:sz w:val="22"/>
          <w:szCs w:val="22"/>
        </w:rPr>
        <w:t xml:space="preserve">After Step 3 fires, the ATP counter reads -2 (net). This is the lowest point in the pathway — the full investment has been made and no return has been seen yet. A good classroom moment to pause and ask: why does the cell spend ATP before gaining any?</w:t>
      </w:r>
    </w:p>
    <w:p>
      <w:r>
        <w:t xml:space="preserve"/>
      </w:r>
    </w:p>
    <w:p>
      <w:pPr>
        <w:pStyle w:val="Heading2"/>
      </w:pPr>
      <w:r>
        <w:rPr>
          <w:rFonts w:ascii="Arial" w:cs="Arial" w:eastAsia="Arial" w:hAnsi="Arial"/>
          <w:b/>
          <w:bCs/>
          <w:sz w:val="26"/>
          <w:szCs w:val="26"/>
        </w:rPr>
        <w:t xml:space="preserve">10.  Full Truth Table — Step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80"/>
        <w:gridCol w:w="1080"/>
        <w:gridCol w:w="1260"/>
        <w:gridCol w:w="1260"/>
        <w:gridCol w:w="1260"/>
        <w:gridCol w:w="1260"/>
        <w:gridCol w:w="1440"/>
        <w:gridCol w:w="1440"/>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F6P</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ATP</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PFK En.</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REACTION</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F-1,6-BP</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ADP</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Committed</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 Return</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c>
          <w:tcPr>
            <w:tcW w:type="auto" w:w="1"/>
            <w:tcBorders>
              <w:top w:val="single" w:color="AAAAAA" w:sz="1"/>
              <w:left w:val="single" w:color="AAAAAA" w:sz="1"/>
              <w:bottom w:val="single" w:color="AAAAAA" w:sz="1"/>
              <w:right w:val="single" w:color="AAAAAA" w:sz="1"/>
            </w:tcBorders>
            <w:shd w:fill="FFF9F0"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c>
          <w:tcPr>
            <w:tcW w:type="auto" w:w="1"/>
            <w:tcBorders>
              <w:top w:val="single" w:color="AAAAAA" w:sz="1"/>
              <w:left w:val="single" w:color="AAAAAA" w:sz="1"/>
              <w:bottom w:val="single" w:color="AAAAAA" w:sz="1"/>
              <w:right w:val="single" w:color="AAAAAA" w:sz="1"/>
            </w:tcBorders>
            <w:shd w:fill="FFF9F0"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c>
          <w:tcPr>
            <w:tcW w:type="auto" w:w="1"/>
            <w:tcBorders>
              <w:top w:val="single" w:color="AAAAAA" w:sz="1"/>
              <w:left w:val="single" w:color="AAAAAA" w:sz="1"/>
              <w:bottom w:val="single" w:color="AAAAAA" w:sz="1"/>
              <w:right w:val="single" w:color="AAAAAA" w:sz="1"/>
            </w:tcBorders>
            <w:shd w:fill="FFF9F0"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c>
          <w:tcPr>
            <w:tcW w:type="auto" w:w="1"/>
            <w:tcBorders>
              <w:top w:val="single" w:color="AAAAAA" w:sz="1"/>
              <w:left w:val="single" w:color="AAAAAA" w:sz="1"/>
              <w:bottom w:val="single" w:color="AAAAAA" w:sz="1"/>
              <w:right w:val="single" w:color="AAAAAA" w:sz="1"/>
            </w:tcBorders>
            <w:shd w:fill="FFF9F0"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c>
          <w:tcPr>
            <w:tcW w:type="auto" w:w="1"/>
            <w:tcBorders>
              <w:top w:val="single" w:color="AAAAAA" w:sz="1"/>
              <w:left w:val="single" w:color="AAAAAA" w:sz="1"/>
              <w:bottom w:val="single" w:color="AAAAAA" w:sz="1"/>
              <w:right w:val="single" w:color="AAAAAA" w:sz="1"/>
            </w:tcBorders>
            <w:shd w:fill="FFF9F0"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c>
          <w:tcPr>
            <w:tcW w:type="auto" w:w="1"/>
            <w:tcBorders>
              <w:top w:val="single" w:color="AAAAAA" w:sz="1"/>
              <w:left w:val="single" w:color="AAAAAA" w:sz="1"/>
              <w:bottom w:val="single" w:color="AAAAAA" w:sz="1"/>
              <w:right w:val="single" w:color="AAAAAA" w:sz="1"/>
            </w:tcBorders>
            <w:shd w:fill="FFF9F0"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r>
      <w:tr>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bCs/>
                <w:sz w:val="20"/>
                <w:szCs w:val="20"/>
              </w:rPr>
              <w:t xml:space="preserve">1 ✓</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ON ✓</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ON ✓</w:t>
            </w:r>
          </w:p>
        </w:tc>
      </w:tr>
    </w:tbl>
    <w:p>
      <w:r>
        <w:t xml:space="preserve"/>
      </w:r>
    </w:p>
    <w:p>
      <w:pPr>
        <w:spacing w:after="120"/>
      </w:pPr>
      <w:r>
        <w:rPr>
          <w:rFonts w:ascii="Arial" w:cs="Arial" w:eastAsia="Arial" w:hAnsi="Arial"/>
          <w:i/>
          <w:iCs/>
          <w:color w:val="555555"/>
          <w:sz w:val="22"/>
          <w:szCs w:val="22"/>
        </w:rPr>
        <w:t xml:space="preserve">Rows 2–4 model single-condition failures. Row 5 (F6P + ATP, no enzyme) is particularly interesting — it models high-ATP inhibition of PFK-1, a real allosteric mechanism where excess ATP suppresses this step to slow glycolysis when energy is plentiful.</w:t>
      </w:r>
    </w:p>
    <w:p>
      <w:r>
        <w:t xml:space="preserve"/>
      </w:r>
    </w:p>
    <w:p>
      <w:pPr>
        <w:pStyle w:val="Heading2"/>
      </w:pPr>
      <w:r>
        <w:rPr>
          <w:rFonts w:ascii="Arial" w:cs="Arial" w:eastAsia="Arial" w:hAnsi="Arial"/>
          <w:b/>
          <w:bCs/>
          <w:sz w:val="26"/>
          <w:szCs w:val="26"/>
        </w:rPr>
        <w:t xml:space="preserve">11.  Design Notes &amp; Pedagogical Callouts</w:t>
      </w:r>
    </w:p>
    <w:p>
      <w:pPr>
        <w:spacing w:after="120"/>
      </w:pPr>
      <w:r>
        <w:rPr>
          <w:rFonts w:ascii="Arial" w:cs="Arial" w:eastAsia="Arial" w:hAnsi="Arial"/>
          <w:sz w:val="22"/>
          <w:szCs w:val="22"/>
        </w:rPr>
        <w:t xml:space="preserve">PFK-1 as the master switch: This is the rate-limiting step of glycolysis. The PFK Enable switch is the most important DIP switch in the kit — toggling it models the cell's ability to speed up or slow down the entire pathway in response to energy status. Demonstrate with the ATP counter visible: students see the counter freeze when PFK Enable goes LOW, even with F6P and ATP present.</w:t>
      </w:r>
    </w:p>
    <w:p>
      <w:r>
        <w:t xml:space="preserve"/>
      </w:r>
    </w:p>
    <w:p>
      <w:pPr>
        <w:spacing w:after="120"/>
      </w:pPr>
      <w:r>
        <w:rPr>
          <w:rFonts w:ascii="Arial" w:cs="Arial" w:eastAsia="Arial" w:hAnsi="Arial"/>
          <w:sz w:val="22"/>
          <w:szCs w:val="22"/>
        </w:rPr>
        <w:t xml:space="preserve">Two LEDs, one signal: Both LEDs are driven by the same AND2 output through independent BJTs. They always fire together. The distinction is purely in the label and colour, not the circuit. This is intentional — it models that commitment and irreversibility are two aspects of the same event, not two separate events.</w:t>
      </w:r>
    </w:p>
    <w:p>
      <w:r>
        <w:t xml:space="preserve"/>
      </w:r>
    </w:p>
    <w:p>
      <w:pPr>
        <w:spacing w:after="120"/>
      </w:pPr>
      <w:r>
        <w:rPr>
          <w:rFonts w:ascii="Arial" w:cs="Arial" w:eastAsia="Arial" w:hAnsi="Arial"/>
          <w:sz w:val="22"/>
          <w:szCs w:val="22"/>
        </w:rPr>
        <w:t xml:space="preserve">Allosteric inhibition demo: In biology, PFK-1 is inhibited by high ATP and activated by AMP. Wire a second switch in series with the PFK Enable input labelled ATP Inhibit — when flipped, it overrides the enzyme enable even if everything else is HIGH. Students can then demonstrate negative feedback: too much ATP → PFK-1 inhibited → glycolysis slows.</w:t>
      </w:r>
    </w:p>
    <w:p>
      <w:r>
        <w:t xml:space="preserve"/>
      </w:r>
    </w:p>
    <w:p>
      <w:pPr>
        <w:spacing w:after="120"/>
      </w:pPr>
      <w:r>
        <w:rPr>
          <w:rFonts w:ascii="Arial" w:cs="Arial" w:eastAsia="Arial" w:hAnsi="Arial"/>
          <w:sz w:val="22"/>
          <w:szCs w:val="22"/>
        </w:rPr>
        <w:t xml:space="preserve">Inter-step connection: F-1,6-BP output (BUF1) connects to Step 4 (Aldolase). Step 4 is structurally different — it splits F-1,6-BP into two 3-carbon fragments, so the circuit topology changes from this point forward.</w:t>
      </w:r>
    </w:p>
    <w:p>
      <w:r>
        <w:t xml:space="preserve"/>
      </w:r>
    </w:p>
    <w:p>
      <w:pPr>
        <w:spacing w:after="120"/>
      </w:pPr>
      <w:r>
        <w:rPr>
          <w:rFonts w:ascii="Arial" w:cs="Arial" w:eastAsia="Arial" w:hAnsi="Arial"/>
          <w:sz w:val="22"/>
          <w:szCs w:val="22"/>
        </w:rPr>
        <w:t xml:space="preserve">Next step: Step 4 — Aldolase cleaves F-1,6-BP into Dihydroxyacetone Phosphate (DHAP) and Glyceraldehyde-3-Phosphate (G3P). One input, two outputs — the circuit will fan out rather than cascade in.</w:t>
      </w:r>
    </w:p>
    <w:p>
      <w:r>
        <w:t xml:space="preserve"/>
      </w:r>
    </w:p>
    <w:p>
      <w:pPr>
        <w:pBdr>
          <w:top w:val="single" w:color="CCCCCC" w:sz="4" w:space="1"/>
        </w:pBdr>
        <w:spacing w:before="240"/>
        <w:jc w:val="center"/>
      </w:pPr>
      <w:r>
        <w:rPr>
          <w:rFonts w:ascii="Arial" w:cs="Arial" w:eastAsia="Arial" w:hAnsi="Arial"/>
          <w:i/>
          <w:iCs/>
          <w:color w:val="AAAAAA"/>
          <w:sz w:val="18"/>
          <w:szCs w:val="18"/>
        </w:rPr>
        <w:t xml:space="preserve">Glycolysis Logic Kit · Step 3/10 · For educational use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527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618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2026-02-27T13:59:12.919Z</dcterms:created>
  <dcterms:modified xsi:type="dcterms:W3CDTF">2026-02-27T13:59:12.920Z</dcterms:modified>
</cp:coreProperties>
</file>

<file path=docProps/custom.xml><?xml version="1.0" encoding="utf-8"?>
<Properties xmlns="http://schemas.openxmlformats.org/officeDocument/2006/custom-properties" xmlns:vt="http://schemas.openxmlformats.org/officeDocument/2006/docPropsVTypes"/>
</file>