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5276"/>
          <w:sz w:val="40"/>
          <w:szCs w:val="40"/>
        </w:rPr>
        <w:t xml:space="preserve">Glycolysis Logic Gate Educational Kit</w:t>
      </w:r>
    </w:p>
    <w:p>
      <w:pPr>
        <w:spacing w:after="60"/>
        <w:jc w:val="center"/>
      </w:pPr>
      <w:r>
        <w:rPr>
          <w:rFonts w:ascii="Arial" w:cs="Arial" w:eastAsia="Arial" w:hAnsi="Arial"/>
          <w:color w:val="555555"/>
          <w:sz w:val="26"/>
          <w:szCs w:val="26"/>
        </w:rPr>
        <w:t xml:space="preserve">Step 5 of 10  ·  DHAP → G3P  +  Both G3P Molecules Ready</w:t>
      </w:r>
    </w:p>
    <w:p>
      <w:pPr>
        <w:pBdr>
          <w:bottom w:val="single" w:color="1A5276" w:sz="6" w:space="1"/>
        </w:pBdr>
        <w:spacing w:after="240"/>
        <w:jc w:val="center"/>
      </w:pPr>
      <w:r>
        <w:rPr>
          <w:rFonts w:ascii="Arial" w:cs="Arial" w:eastAsia="Arial" w:hAnsi="Arial"/>
          <w:i/>
          <w:iCs/>
          <w:color w:val="888888"/>
          <w:sz w:val="22"/>
          <w:szCs w:val="22"/>
        </w:rPr>
        <w:t xml:space="preserve">Enzyme: Triose Phosphate Isomerase (TPI)  ·  ATP change: 0  ·  Net: DHAP → G3P_A  |  G3P_B passes through</w:t>
      </w:r>
    </w:p>
    <w:p>
      <w:pPr>
        <w:pStyle w:val="Heading2"/>
      </w:pPr>
      <w:r>
        <w:rPr>
          <w:rFonts w:ascii="Arial" w:cs="Arial" w:eastAsia="Arial" w:hAnsi="Arial"/>
          <w:b/>
          <w:bCs/>
          <w:sz w:val="26"/>
          <w:szCs w:val="26"/>
        </w:rPr>
        <w:t xml:space="preserve">1.  Biochemical Context</w:t>
      </w:r>
    </w:p>
    <w:p>
      <w:pPr>
        <w:spacing w:after="120"/>
      </w:pPr>
      <w:r>
        <w:rPr>
          <w:rFonts w:ascii="Arial" w:cs="Arial" w:eastAsia="Arial" w:hAnsi="Arial"/>
          <w:sz w:val="22"/>
          <w:szCs w:val="22"/>
        </w:rPr>
        <w:t xml:space="preserve">Step 5 is catalysed by Triose Phosphate Isomerase (TPI), one of the most catalytically perfect enzymes known — it operates near the diffusion limit. It converts Dihydroxyacetone Phosphate (DHAP) into Glyceraldehyde-3-Phosphate (G3P), producing a second molecule of G3P from the upper fragment of the Step 4 split.</w:t>
      </w:r>
    </w:p>
    <w:p>
      <w:pPr>
        <w:spacing w:after="120"/>
      </w:pPr>
      <w:r>
        <w:rPr>
          <w:rFonts w:ascii="Arial" w:cs="Arial" w:eastAsia="Arial" w:hAnsi="Arial"/>
          <w:sz w:val="22"/>
          <w:szCs w:val="22"/>
        </w:rPr>
        <w:t xml:space="preserve">This step is the last of the preparatory phase. Its purpose is simple but critical: DHAP cannot enter the payoff phase directly, so TPI isomerises it into a usable form. The result is that the cell now has two molecules of G3P — one from Step 4 directly (G3P_B), and one freshly converted from DHAP (G3P_A).</w:t>
      </w:r>
    </w:p>
    <w:p>
      <w:pPr>
        <w:spacing w:after="120"/>
      </w:pPr>
      <w:r>
        <w:rPr>
          <w:rFonts w:ascii="Arial" w:cs="Arial" w:eastAsia="Arial" w:hAnsi="Arial"/>
          <w:sz w:val="22"/>
          <w:szCs w:val="22"/>
        </w:rPr>
        <w:t xml:space="preserve">No ATP is consumed or produced. The reaction is fully reversible, but the equilibrium is pulled forward by the rapid consumption of G3P in Step 6.</w:t>
      </w:r>
    </w:p>
    <w:p>
      <w:pPr>
        <w:spacing w:after="120"/>
      </w:pPr>
      <w:r>
        <w:rPr>
          <w:rFonts w:ascii="Arial" w:cs="Arial" w:eastAsia="Arial" w:hAnsi="Arial"/>
          <w:sz w:val="22"/>
          <w:szCs w:val="22"/>
        </w:rPr>
        <w:t xml:space="preserve">The 'Both Ready' AND gate in the circuit captures the key transition: the payoff phase cannot begin until both G3P molecules are available. This models the synchronisation point between Path A (conversion) and Path B (direct pass-through from Step 4).</w:t>
      </w:r>
    </w:p>
    <w:p>
      <w:r>
        <w:t xml:space="preserve"/>
      </w:r>
    </w:p>
    <w:p>
      <w:pPr>
        <w:pStyle w:val="Heading2"/>
      </w:pPr>
      <w:r>
        <w:rPr>
          <w:rFonts w:ascii="Arial" w:cs="Arial" w:eastAsia="Arial" w:hAnsi="Arial"/>
          <w:b/>
          <w:bCs/>
          <w:sz w:val="26"/>
          <w:szCs w:val="26"/>
        </w:rPr>
        <w:t xml:space="preserve">2.  Two-Path Architecture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3780"/>
        <w:gridCol w:w="3780"/>
      </w:tblGrid>
      <w:tr>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Path A — Conversion</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Path B — Pass-through</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Input</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DHAP (from Step 4)</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G3P_B (from Step 4 directly)</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Processing</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AND gate + TPI enzyme enable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Buffer only — no gate needed</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LED</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G3P_A LED — conversion complete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No separate LED — already lit in Step 4</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Output</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G3P_A</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G3P_B (buffered)</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Delay</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Gated by Isomerase Enable switch</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Immediate — always HIGH if Step 4 active</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Joins at</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Both Ready AND gate input A</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Both Ready AND gate input B</w:t>
            </w:r>
          </w:p>
        </w:tc>
      </w:tr>
    </w:tbl>
    <w:p>
      <w:r>
        <w:t xml:space="preserve"/>
      </w:r>
    </w:p>
    <w:p>
      <w:pPr>
        <w:pStyle w:val="Heading2"/>
      </w:pPr>
      <w:r>
        <w:rPr>
          <w:rFonts w:ascii="Arial" w:cs="Arial" w:eastAsia="Arial" w:hAnsi="Arial"/>
          <w:b/>
          <w:bCs/>
          <w:sz w:val="26"/>
          <w:szCs w:val="26"/>
        </w:rPr>
        <w:t xml:space="preserve">3.  Logic Signal Mapping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Represents</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Logic 1 (HIGH)</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Logic 0 (LOW)</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DHAP</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Substrate — Path A input</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DHAP present (Step 4 active)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No DHAP</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Isomerase En.</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TPI enzyme enable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TPI active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TPI inhibited</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G3P_B</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Direct G3P — Path B input</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G3P from Step 4 present</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Step 4 not yet active</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G3P_A</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Converted G3P (Path A out)</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DHAP successfully converted</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Conversion blocked</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G3P_A LED</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Conversion indicator</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ON — DHAP → G3P done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OFF</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BOTH_READY</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Synchronisation gate output</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Both G3P molecules available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One or both missing</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Both Ready LED</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Payoff phase gate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ON — ready to proceed to Step 6</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OFF — waiting</w:t>
            </w:r>
          </w:p>
        </w:tc>
      </w:tr>
    </w:tbl>
    <w:p>
      <w:r>
        <w:t xml:space="preserve"/>
      </w:r>
    </w:p>
    <w:p>
      <w:pPr>
        <w:pStyle w:val="Heading2"/>
      </w:pPr>
      <w:r>
        <w:rPr>
          <w:rFonts w:ascii="Arial" w:cs="Arial" w:eastAsia="Arial" w:hAnsi="Arial"/>
          <w:b/>
          <w:bCs/>
          <w:sz w:val="26"/>
          <w:szCs w:val="26"/>
        </w:rPr>
        <w:t xml:space="preserve">4.  Boolean Logic Expression</w:t>
      </w:r>
    </w:p>
    <w:p>
      <w:pPr>
        <w:spacing w:after="120"/>
      </w:pPr>
      <w:r>
        <w:rPr>
          <w:rFonts w:ascii="Arial" w:cs="Arial" w:eastAsia="Arial" w:hAnsi="Arial"/>
          <w:sz w:val="22"/>
          <w:szCs w:val="22"/>
        </w:rPr>
        <w:t xml:space="preserve">The circuit implements the following logic:</w:t>
      </w:r>
    </w:p>
    <w:p>
      <w:r>
        <w:t xml:space="preserve"/>
      </w:r>
    </w:p>
    <w:p>
      <w:pPr>
        <w:spacing w:before="60" w:after="60"/>
      </w:pPr>
      <w:r>
        <w:rPr>
          <w:rFonts w:ascii="Courier New" w:cs="Courier New" w:eastAsia="Courier New" w:hAnsi="Courier New"/>
          <w:sz w:val="20"/>
          <w:szCs w:val="20"/>
        </w:rPr>
        <w:t xml:space="preserve">  -- Path A: Conversion --</w:t>
      </w:r>
    </w:p>
    <w:p>
      <w:pPr>
        <w:spacing w:before="60" w:after="60"/>
      </w:pPr>
      <w:r>
        <w:rPr>
          <w:rFonts w:ascii="Courier New" w:cs="Courier New" w:eastAsia="Courier New" w:hAnsi="Courier New"/>
          <w:sz w:val="20"/>
          <w:szCs w:val="20"/>
        </w:rPr>
        <w:t xml:space="preserve">  G3P_A      =  DHAP  AND  Isomerase_Enable</w:t>
      </w:r>
    </w:p>
    <w:p>
      <w:pPr>
        <w:spacing w:before="60" w:after="60"/>
      </w:pPr>
      <w:r>
        <w:rPr>
          <w:rFonts w:ascii="Courier New" w:cs="Courier New" w:eastAsia="Courier New" w:hAnsi="Courier New"/>
          <w:sz w:val="20"/>
          <w:szCs w:val="20"/>
        </w:rPr>
        <w:t xml:space="preserve">  G3P_A_LED  =  G3P_A          (Q1 driver)</w:t>
      </w:r>
    </w:p>
    <w:p>
      <w:pPr>
        <w:spacing w:before="60" w:after="60"/>
      </w:pPr>
      <w:r>
        <w:rPr>
          <w:rFonts w:ascii="Courier New" w:cs="Courier New" w:eastAsia="Courier New" w:hAnsi="Courier New"/>
          <w:sz w:val="20"/>
          <w:szCs w:val="20"/>
        </w:rPr>
        <w:t xml:space="preserve"/>
      </w:r>
    </w:p>
    <w:p>
      <w:pPr>
        <w:spacing w:before="60" w:after="60"/>
      </w:pPr>
      <w:r>
        <w:rPr>
          <w:rFonts w:ascii="Courier New" w:cs="Courier New" w:eastAsia="Courier New" w:hAnsi="Courier New"/>
          <w:sz w:val="20"/>
          <w:szCs w:val="20"/>
        </w:rPr>
        <w:t xml:space="preserve">  -- Path B: Pass-through --</w:t>
      </w:r>
    </w:p>
    <w:p>
      <w:pPr>
        <w:spacing w:before="60" w:after="60"/>
      </w:pPr>
      <w:r>
        <w:rPr>
          <w:rFonts w:ascii="Courier New" w:cs="Courier New" w:eastAsia="Courier New" w:hAnsi="Courier New"/>
          <w:sz w:val="20"/>
          <w:szCs w:val="20"/>
        </w:rPr>
        <w:t xml:space="preserve">  G3P_B_buf  =  G3P_B          (BUF1 — buffered pass-through)</w:t>
      </w:r>
    </w:p>
    <w:p>
      <w:pPr>
        <w:spacing w:before="60" w:after="60"/>
      </w:pPr>
      <w:r>
        <w:rPr>
          <w:rFonts w:ascii="Courier New" w:cs="Courier New" w:eastAsia="Courier New" w:hAnsi="Courier New"/>
          <w:sz w:val="20"/>
          <w:szCs w:val="20"/>
        </w:rPr>
        <w:t xml:space="preserve"/>
      </w:r>
    </w:p>
    <w:p>
      <w:pPr>
        <w:spacing w:before="60" w:after="60"/>
      </w:pPr>
      <w:r>
        <w:rPr>
          <w:rFonts w:ascii="Courier New" w:cs="Courier New" w:eastAsia="Courier New" w:hAnsi="Courier New"/>
          <w:sz w:val="20"/>
          <w:szCs w:val="20"/>
        </w:rPr>
        <w:t xml:space="preserve">  -- Synchronisation --</w:t>
      </w:r>
    </w:p>
    <w:p>
      <w:pPr>
        <w:spacing w:before="60" w:after="60"/>
      </w:pPr>
      <w:r>
        <w:rPr>
          <w:rFonts w:ascii="Courier New" w:cs="Courier New" w:eastAsia="Courier New" w:hAnsi="Courier New"/>
          <w:sz w:val="20"/>
          <w:szCs w:val="20"/>
        </w:rPr>
        <w:t xml:space="preserve">  BOTH_READY     =  G3P_A  AND  G3P_B_buf</w:t>
      </w:r>
    </w:p>
    <w:p>
      <w:pPr>
        <w:spacing w:before="60" w:after="60"/>
      </w:pPr>
      <w:r>
        <w:rPr>
          <w:rFonts w:ascii="Courier New" w:cs="Courier New" w:eastAsia="Courier New" w:hAnsi="Courier New"/>
          <w:sz w:val="20"/>
          <w:szCs w:val="20"/>
        </w:rPr>
        <w:t xml:space="preserve">  Both_Ready_LED =  BOTH_READY  (Q2 driver)</w:t>
      </w:r>
    </w:p>
    <w:p>
      <w:r>
        <w:t xml:space="preserve"/>
      </w:r>
    </w:p>
    <w:p>
      <w:pPr>
        <w:spacing w:after="120"/>
      </w:pPr>
      <w:r>
        <w:rPr>
          <w:rFonts w:ascii="Arial" w:cs="Arial" w:eastAsia="Arial" w:hAnsi="Arial"/>
          <w:sz w:val="22"/>
          <w:szCs w:val="22"/>
        </w:rPr>
        <w:t xml:space="preserve">Path A requires both substrate and enzyme. Path B simply buffers the G3P signal that arrived from Step 4. The Both Ready AND gate fires only when both paths are HIGH simultaneously — modelling the cell's requirement for a full complement of G3P before the payoff phase can begin.</w:t>
      </w:r>
    </w:p>
    <w:p>
      <w:r>
        <w:t xml:space="preserve"/>
      </w:r>
    </w:p>
    <w:p>
      <w:pPr>
        <w:pStyle w:val="Heading2"/>
      </w:pPr>
      <w:r>
        <w:rPr>
          <w:rFonts w:ascii="Arial" w:cs="Arial" w:eastAsia="Arial" w:hAnsi="Arial"/>
          <w:b/>
          <w:bCs/>
          <w:sz w:val="26"/>
          <w:szCs w:val="26"/>
        </w:rPr>
        <w:t xml:space="preserve">5.  Text-Based Schematic</w:t>
      </w:r>
    </w:p>
    <w:p>
      <w:pPr>
        <w:spacing w:after="120"/>
      </w:pPr>
      <w:r>
        <w:rPr>
          <w:rFonts w:ascii="Arial" w:cs="Arial" w:eastAsia="Arial" w:hAnsi="Arial"/>
          <w:sz w:val="22"/>
          <w:szCs w:val="22"/>
        </w:rPr>
        <w:t xml:space="preserve">Two parallel paths converge at a synchronisation AND gate. Path A is gated; Path B is a direct pass-through.</w:t>
      </w:r>
    </w:p>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160"/>
        <w:gridCol w:w="2600"/>
        <w:gridCol w:w="160"/>
        <w:gridCol w:w="4860"/>
      </w:tblGrid>
      <w:tr>
        <w:tc>
          <w:tcPr>
            <w:tcBorders>
              <w:top w:val="none" w:color="FFFFFF" w:sz="0"/>
              <w:left w:val="none" w:color="FFFFFF" w:sz="0"/>
              <w:bottom w:val="none" w:color="FFFFFF" w:sz="0"/>
              <w:right w:val="none" w:color="FFFFFF" w:sz="0"/>
            </w:tcBorders>
          </w:tcPr>
          <w:p>
            <w:r>
              <w:rPr>
                <w:rFonts w:ascii="Arial" w:cs="Arial" w:eastAsia="Arial" w:hAnsi="Arial"/>
                <w:b/>
                <w:bCs/>
                <w:color w:val="888888"/>
                <w:sz w:val="18"/>
                <w:szCs w:val="18"/>
              </w:rPr>
              <w:t xml:space="preserve">INPUTS</w:t>
            </w:r>
          </w:p>
        </w:tc>
        <w:tc>
          <w:tcPr>
            <w:tcBorders>
              <w:top w:val="none" w:color="FFFFFF" w:sz="0"/>
              <w:left w:val="none" w:color="FFFFFF" w:sz="0"/>
              <w:bottom w:val="none" w:color="FFFFFF" w:sz="0"/>
              <w:right w:val="none" w:color="FFFFFF" w:sz="0"/>
            </w:tcBorders>
          </w:tcPr>
          <w:p>
            <w:r>
              <w:t xml:space="preserve"/>
            </w:r>
          </w:p>
        </w:tc>
        <w:tc>
          <w:tcPr>
            <w:tcBorders>
              <w:top w:val="none" w:color="FFFFFF" w:sz="0"/>
              <w:left w:val="none" w:color="FFFFFF" w:sz="0"/>
              <w:bottom w:val="none" w:color="FFFFFF" w:sz="0"/>
              <w:right w:val="none" w:color="FFFFFF" w:sz="0"/>
            </w:tcBorders>
          </w:tcPr>
          <w:p>
            <w:r>
              <w:rPr>
                <w:rFonts w:ascii="Arial" w:cs="Arial" w:eastAsia="Arial" w:hAnsi="Arial"/>
                <w:b/>
                <w:bCs/>
                <w:color w:val="888888"/>
                <w:sz w:val="18"/>
                <w:szCs w:val="18"/>
              </w:rPr>
              <w:t xml:space="preserve">PATH PROCESSING</w:t>
            </w:r>
          </w:p>
        </w:tc>
        <w:tc>
          <w:tcPr>
            <w:tcBorders>
              <w:top w:val="none" w:color="FFFFFF" w:sz="0"/>
              <w:left w:val="none" w:color="FFFFFF" w:sz="0"/>
              <w:bottom w:val="none" w:color="FFFFFF" w:sz="0"/>
              <w:right w:val="none" w:color="FFFFFF" w:sz="0"/>
            </w:tcBorders>
          </w:tcPr>
          <w:p>
            <w:r>
              <w:t xml:space="preserve"/>
            </w:r>
          </w:p>
        </w:tc>
        <w:tc>
          <w:tcPr>
            <w:tcBorders>
              <w:top w:val="none" w:color="FFFFFF" w:sz="0"/>
              <w:left w:val="none" w:color="FFFFFF" w:sz="0"/>
              <w:bottom w:val="none" w:color="FFFFFF" w:sz="0"/>
              <w:right w:val="none" w:color="FFFFFF" w:sz="0"/>
            </w:tcBorders>
          </w:tcPr>
          <w:p>
            <w:r>
              <w:rPr>
                <w:rFonts w:ascii="Arial" w:cs="Arial" w:eastAsia="Arial" w:hAnsi="Arial"/>
                <w:b/>
                <w:bCs/>
                <w:color w:val="888888"/>
                <w:sz w:val="18"/>
                <w:szCs w:val="18"/>
              </w:rPr>
              <w:t xml:space="preserve">SYNC + OUTPUT</w:t>
            </w:r>
          </w:p>
        </w:tc>
      </w:tr>
      <w:tr>
        <w:tc>
          <w:tcPr>
            <w:tcBorders>
              <w:top w:val="none" w:color="FFFFFF" w:sz="0"/>
              <w:left w:val="none" w:color="FFFFFF" w:sz="0"/>
              <w:bottom w:val="none" w:color="FFFFFF" w:sz="0"/>
              <w:right w:val="none" w:color="FFFFFF" w:sz="0"/>
            </w:tcBorders>
          </w:tcPr>
          <w:p>
            <w:pPr>
              <w:spacing w:before="120"/>
            </w:pPr>
            <w:r>
              <w:rPr>
                <w:rFonts w:ascii="Arial" w:cs="Arial" w:eastAsia="Arial" w:hAnsi="Arial"/>
                <w:b/>
                <w:bCs/>
                <w:color w:val="1F618D"/>
                <w:sz w:val="18"/>
                <w:szCs w:val="18"/>
              </w:rPr>
              <w:t xml:space="preserve">── PATH A (Conversion) ──</w:t>
            </w:r>
          </w:p>
        </w:tc>
        <w:tc>
          <w:tcPr>
            <w:tcBorders>
              <w:top w:val="none" w:color="FFFFFF" w:sz="0"/>
              <w:left w:val="none" w:color="FFFFFF" w:sz="0"/>
              <w:bottom w:val="none" w:color="FFFFFF" w:sz="0"/>
              <w:right w:val="none" w:color="FFFFFF" w:sz="0"/>
            </w:tcBorders>
          </w:tcPr>
          <w:p>
            <w:r>
              <w:t xml:space="preserve"/>
            </w:r>
          </w:p>
        </w:tc>
        <w:tc>
          <w:tcPr>
            <w:tcBorders>
              <w:top w:val="none" w:color="FFFFFF" w:sz="0"/>
              <w:left w:val="none" w:color="FFFFFF" w:sz="0"/>
              <w:bottom w:val="none" w:color="FFFFFF" w:sz="0"/>
              <w:right w:val="none" w:color="FFFFFF" w:sz="0"/>
            </w:tcBorders>
          </w:tcPr>
          <w:p>
            <w:r>
              <w:t xml:space="preserve"/>
            </w:r>
          </w:p>
        </w:tc>
        <w:tc>
          <w:tcPr>
            <w:tcBorders>
              <w:top w:val="none" w:color="FFFFFF" w:sz="0"/>
              <w:left w:val="none" w:color="FFFFFF" w:sz="0"/>
              <w:bottom w:val="none" w:color="FFFFFF" w:sz="0"/>
              <w:right w:val="none" w:color="FFFFFF" w:sz="0"/>
            </w:tcBorders>
          </w:tcPr>
          <w:p>
            <w:r>
              <w:t xml:space="preserve"/>
            </w:r>
          </w:p>
        </w:tc>
        <w:tc>
          <w:tcPr>
            <w:tcBorders>
              <w:top w:val="none" w:color="FFFFFF" w:sz="0"/>
              <w:left w:val="none" w:color="FFFFFF" w:sz="0"/>
              <w:bottom w:val="none" w:color="FFFFFF" w:sz="0"/>
              <w:right w:val="none" w:color="FFFFFF" w:sz="0"/>
            </w:tcBorders>
          </w:tcPr>
          <w:p>
            <w:r>
              <w:t xml:space="preserve"/>
            </w:r>
          </w:p>
        </w:tc>
      </w:tr>
      <w:tr>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DHAP (← Step 4)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w:t>
            </w:r>
          </w:p>
        </w:tc>
      </w:tr>
      <w:tr>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Isomerase Enable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AND1 ├─► [Q1/G3P_A LED]─</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AND2 (Both Ready)</w:t>
            </w:r>
          </w:p>
        </w:tc>
      </w:tr>
      <w:tr>
        <w:tc>
          <w:tcPr>
            <w:tcBorders>
              <w:top w:val="none" w:color="FFFFFF" w:sz="0"/>
              <w:left w:val="none" w:color="FFFFFF" w:sz="0"/>
              <w:bottom w:val="none" w:color="FFFFFF" w:sz="0"/>
              <w:right w:val="none" w:color="FFFFFF" w:sz="0"/>
            </w:tcBorders>
          </w:tcPr>
          <w:p>
            <w:pPr>
              <w:spacing w:before="80" w:after="80"/>
            </w:pPr>
            <w:r>
              <w:t xml:space="preserve"/>
            </w:r>
          </w:p>
        </w:tc>
        <w:tc>
          <w:tcPr>
            <w:tcBorders>
              <w:top w:val="none" w:color="FFFFFF" w:sz="0"/>
              <w:left w:val="none" w:color="FFFFFF" w:sz="0"/>
              <w:bottom w:val="none" w:color="FFFFFF" w:sz="0"/>
              <w:right w:val="none" w:color="FFFFFF" w:sz="0"/>
            </w:tcBorders>
          </w:tcPr>
          <w:p>
            <w:r>
              <w:t xml:space="preserve"/>
            </w:r>
          </w:p>
        </w:tc>
        <w:tc>
          <w:tcPr>
            <w:tcBorders>
              <w:top w:val="none" w:color="FFFFFF" w:sz="0"/>
              <w:left w:val="none" w:color="FFFFFF" w:sz="0"/>
              <w:bottom w:val="none" w:color="FFFFFF" w:sz="0"/>
              <w:right w:val="none" w:color="FFFFFF" w:sz="0"/>
            </w:tcBorders>
          </w:tcPr>
          <w:p>
            <w:r>
              <w:t xml:space="preserve"/>
            </w:r>
          </w:p>
        </w:tc>
        <w:tc>
          <w:tcPr>
            <w:tcBorders>
              <w:top w:val="none" w:color="FFFFFF" w:sz="0"/>
              <w:left w:val="none" w:color="FFFFFF" w:sz="0"/>
              <w:bottom w:val="none" w:color="FFFFFF" w:sz="0"/>
              <w:right w:val="none" w:color="FFFFFF" w:sz="0"/>
            </w:tcBorders>
          </w:tcPr>
          <w:p>
            <w:r>
              <w:t xml:space="preserve"/>
            </w:r>
          </w:p>
        </w:tc>
        <w:tc>
          <w:tcPr>
            <w:tcBorders>
              <w:top w:val="none" w:color="FFFFFF" w:sz="0"/>
              <w:left w:val="none" w:color="FFFFFF" w:sz="0"/>
              <w:bottom w:val="none" w:color="FFFFFF" w:sz="0"/>
              <w:right w:val="none" w:color="FFFFFF" w:sz="0"/>
            </w:tcBorders>
          </w:tcPr>
          <w:p>
            <w:r>
              <w:t xml:space="preserve"/>
            </w:r>
          </w:p>
        </w:tc>
      </w:tr>
      <w:tr>
        <w:tc>
          <w:tcPr>
            <w:tcBorders>
              <w:top w:val="none" w:color="FFFFFF" w:sz="0"/>
              <w:left w:val="none" w:color="FFFFFF" w:sz="0"/>
              <w:bottom w:val="none" w:color="FFFFFF" w:sz="0"/>
              <w:right w:val="none" w:color="FFFFFF" w:sz="0"/>
            </w:tcBorders>
          </w:tcPr>
          <w:p>
            <w:r>
              <w:rPr>
                <w:rFonts w:ascii="Arial" w:cs="Arial" w:eastAsia="Arial" w:hAnsi="Arial"/>
                <w:b/>
                <w:bCs/>
                <w:color w:val="117A65"/>
                <w:sz w:val="18"/>
                <w:szCs w:val="18"/>
              </w:rPr>
              <w:t xml:space="preserve">── PATH B (Pass-through) ──</w:t>
            </w:r>
          </w:p>
        </w:tc>
        <w:tc>
          <w:tcPr>
            <w:tcBorders>
              <w:top w:val="none" w:color="FFFFFF" w:sz="0"/>
              <w:left w:val="none" w:color="FFFFFF" w:sz="0"/>
              <w:bottom w:val="none" w:color="FFFFFF" w:sz="0"/>
              <w:right w:val="none" w:color="FFFFFF" w:sz="0"/>
            </w:tcBorders>
          </w:tcPr>
          <w:p>
            <w:r>
              <w:t xml:space="preserve"/>
            </w:r>
          </w:p>
        </w:tc>
        <w:tc>
          <w:tcPr>
            <w:tcBorders>
              <w:top w:val="none" w:color="FFFFFF" w:sz="0"/>
              <w:left w:val="none" w:color="FFFFFF" w:sz="0"/>
              <w:bottom w:val="none" w:color="FFFFFF" w:sz="0"/>
              <w:right w:val="none" w:color="FFFFFF" w:sz="0"/>
            </w:tcBorders>
          </w:tcPr>
          <w:p>
            <w:r>
              <w:t xml:space="preserve"/>
            </w:r>
          </w:p>
        </w:tc>
        <w:tc>
          <w:tcPr>
            <w:tcBorders>
              <w:top w:val="none" w:color="FFFFFF" w:sz="0"/>
              <w:left w:val="none" w:color="FFFFFF" w:sz="0"/>
              <w:bottom w:val="none" w:color="FFFFFF" w:sz="0"/>
              <w:right w:val="none" w:color="FFFFFF" w:sz="0"/>
            </w:tcBorders>
          </w:tcPr>
          <w:p>
            <w:r>
              <w:t xml:space="preserve"/>
            </w:r>
          </w:p>
        </w:tc>
        <w:tc>
          <w:tcPr>
            <w:tcBorders>
              <w:top w:val="none" w:color="FFFFFF" w:sz="0"/>
              <w:left w:val="none" w:color="FFFFFF" w:sz="0"/>
              <w:bottom w:val="none" w:color="FFFFFF" w:sz="0"/>
              <w:right w:val="none" w:color="FFFFFF" w:sz="0"/>
            </w:tcBorders>
          </w:tcPr>
          <w:p>
            <w:r>
              <w:t xml:space="preserve"/>
            </w:r>
          </w:p>
        </w:tc>
      </w:tr>
      <w:tr>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G3P_B (← Step 4)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[BUF1]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w:t>
            </w:r>
          </w:p>
        </w:tc>
      </w:tr>
      <w:tr>
        <w:tc>
          <w:tcPr>
            <w:tcBorders>
              <w:top w:val="none" w:color="FFFFFF" w:sz="0"/>
              <w:left w:val="none" w:color="FFFFFF" w:sz="0"/>
              <w:bottom w:val="none" w:color="FFFFFF" w:sz="0"/>
              <w:right w:val="none" w:color="FFFFFF" w:sz="0"/>
            </w:tcBorders>
          </w:tcPr>
          <w:p>
            <w:pPr>
              <w:spacing w:before="80" w:after="80"/>
            </w:pPr>
            <w:r>
              <w:t xml:space="preserve"/>
            </w:r>
          </w:p>
        </w:tc>
        <w:tc>
          <w:tcPr>
            <w:tcBorders>
              <w:top w:val="none" w:color="FFFFFF" w:sz="0"/>
              <w:left w:val="none" w:color="FFFFFF" w:sz="0"/>
              <w:bottom w:val="none" w:color="FFFFFF" w:sz="0"/>
              <w:right w:val="none" w:color="FFFFFF" w:sz="0"/>
            </w:tcBorders>
          </w:tcPr>
          <w:p>
            <w:r>
              <w:t xml:space="preserve"/>
            </w:r>
          </w:p>
        </w:tc>
        <w:tc>
          <w:tcPr>
            <w:tcBorders>
              <w:top w:val="none" w:color="FFFFFF" w:sz="0"/>
              <w:left w:val="none" w:color="FFFFFF" w:sz="0"/>
              <w:bottom w:val="none" w:color="FFFFFF" w:sz="0"/>
              <w:right w:val="none" w:color="FFFFFF" w:sz="0"/>
            </w:tcBorders>
          </w:tcPr>
          <w:p>
            <w:r>
              <w:t xml:space="preserve"/>
            </w:r>
          </w:p>
        </w:tc>
        <w:tc>
          <w:tcPr>
            <w:tcBorders>
              <w:top w:val="none" w:color="FFFFFF" w:sz="0"/>
              <w:left w:val="none" w:color="FFFFFF" w:sz="0"/>
              <w:bottom w:val="none" w:color="FFFFFF" w:sz="0"/>
              <w:right w:val="none" w:color="FFFFFF" w:sz="0"/>
            </w:tcBorders>
          </w:tcPr>
          <w:p>
            <w:r>
              <w:t xml:space="preserve"/>
            </w:r>
          </w:p>
        </w:tc>
        <w:tc>
          <w:tcPr>
            <w:tcBorders>
              <w:top w:val="none" w:color="FFFFFF" w:sz="0"/>
              <w:left w:val="none" w:color="FFFFFF" w:sz="0"/>
              <w:bottom w:val="none" w:color="FFFFFF" w:sz="0"/>
              <w:right w:val="none" w:color="FFFFFF" w:sz="0"/>
            </w:tcBorders>
          </w:tcPr>
          <w:p>
            <w:r>
              <w:t xml:space="preserve"/>
            </w:r>
          </w:p>
        </w:tc>
      </w:tr>
      <w:tr>
        <w:tc>
          <w:tcPr>
            <w:tcBorders>
              <w:top w:val="none" w:color="FFFFFF" w:sz="0"/>
              <w:left w:val="none" w:color="FFFFFF" w:sz="0"/>
              <w:bottom w:val="none" w:color="FFFFFF" w:sz="0"/>
              <w:right w:val="none" w:color="FFFFFF" w:sz="0"/>
            </w:tcBorders>
          </w:tcPr>
          <w:p>
            <w:r>
              <w:rPr>
                <w:rFonts w:ascii="Arial" w:cs="Arial" w:eastAsia="Arial" w:hAnsi="Arial"/>
                <w:b/>
                <w:bCs/>
                <w:color w:val="884EA0"/>
                <w:sz w:val="18"/>
                <w:szCs w:val="18"/>
              </w:rPr>
              <w:t xml:space="preserve">── SYNCHRONISATION ──</w:t>
            </w:r>
          </w:p>
        </w:tc>
        <w:tc>
          <w:tcPr>
            <w:tcBorders>
              <w:top w:val="none" w:color="FFFFFF" w:sz="0"/>
              <w:left w:val="none" w:color="FFFFFF" w:sz="0"/>
              <w:bottom w:val="none" w:color="FFFFFF" w:sz="0"/>
              <w:right w:val="none" w:color="FFFFFF" w:sz="0"/>
            </w:tcBorders>
          </w:tcPr>
          <w:p>
            <w:r>
              <w:t xml:space="preserve"/>
            </w:r>
          </w:p>
        </w:tc>
        <w:tc>
          <w:tcPr>
            <w:tcBorders>
              <w:top w:val="none" w:color="FFFFFF" w:sz="0"/>
              <w:left w:val="none" w:color="FFFFFF" w:sz="0"/>
              <w:bottom w:val="none" w:color="FFFFFF" w:sz="0"/>
              <w:right w:val="none" w:color="FFFFFF" w:sz="0"/>
            </w:tcBorders>
          </w:tcPr>
          <w:p>
            <w:r>
              <w:t xml:space="preserve"/>
            </w:r>
          </w:p>
        </w:tc>
        <w:tc>
          <w:tcPr>
            <w:tcBorders>
              <w:top w:val="none" w:color="FFFFFF" w:sz="0"/>
              <w:left w:val="none" w:color="FFFFFF" w:sz="0"/>
              <w:bottom w:val="none" w:color="FFFFFF" w:sz="0"/>
              <w:right w:val="none" w:color="FFFFFF" w:sz="0"/>
            </w:tcBorders>
          </w:tcPr>
          <w:p>
            <w:r>
              <w:t xml:space="preserve"/>
            </w:r>
          </w:p>
        </w:tc>
        <w:tc>
          <w:tcPr>
            <w:tcBorders>
              <w:top w:val="none" w:color="FFFFFF" w:sz="0"/>
              <w:left w:val="none" w:color="FFFFFF" w:sz="0"/>
              <w:bottom w:val="none" w:color="FFFFFF" w:sz="0"/>
              <w:right w:val="none" w:color="FFFFFF" w:sz="0"/>
            </w:tcBorders>
          </w:tcPr>
          <w:p>
            <w:r>
              <w:t xml:space="preserve"/>
            </w:r>
          </w:p>
        </w:tc>
      </w:tr>
      <w:tr>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AND2 out ─► [Q2/Both Ready LED] ──► Step 6</w:t>
            </w:r>
          </w:p>
        </w:tc>
      </w:tr>
    </w:tbl>
    <w:p>
      <w:r>
        <w:t xml:space="preserve"/>
      </w:r>
    </w:p>
    <w:p>
      <w:pPr>
        <w:spacing w:after="120"/>
      </w:pPr>
      <w:r>
        <w:rPr>
          <w:rFonts w:ascii="Arial" w:cs="Arial" w:eastAsia="Arial" w:hAnsi="Arial"/>
          <w:sz w:val="22"/>
          <w:szCs w:val="22"/>
        </w:rPr>
        <w:t xml:space="preserve">AND1 handles Path A conversion (DHAP + Isomerase Enable). BUF1 passes G3P_B through unchanged. AND2 is the synchronisation gate — it goes HIGH only when both G3P_A and G3P_B are simultaneously present, firing the Both Ready LED and enabling Step 6.</w:t>
      </w:r>
    </w:p>
    <w:p>
      <w:r>
        <w:t xml:space="preserve"/>
      </w:r>
    </w:p>
    <w:p>
      <w:pPr>
        <w:pStyle w:val="Heading2"/>
      </w:pPr>
      <w:r>
        <w:rPr>
          <w:rFonts w:ascii="Arial" w:cs="Arial" w:eastAsia="Arial" w:hAnsi="Arial"/>
          <w:b/>
          <w:bCs/>
          <w:sz w:val="26"/>
          <w:szCs w:val="26"/>
        </w:rPr>
        <w:t xml:space="preserve">6.  Gate-Level Description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80"/>
        <w:gridCol w:w="1620"/>
        <w:gridCol w:w="2160"/>
        <w:gridCol w:w="1440"/>
        <w:gridCol w:w="3780"/>
      </w:tblGrid>
      <w:tr>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Ref</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AND1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2-input AND</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DHAP, Isomerase En.</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TPI conversion gate — DHAP only proceeds with enzyme active</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Q1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NPN BJT (PN2222)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AND1 out via 1kΩ</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G3P_A LED driver — Path A conversion complete</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BUF1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Buffer</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G3P_B</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B</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Pass-through buffer — isolates Step 4 output from AND2 load</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AND2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2-input AND</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AND1 out, BUF1 out</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Sync</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Both Ready gate — fires only when both G3P molecules present</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Q2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NPN BJT (PN2222)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AND2 out via 1kΩ</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Sync</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Both Ready LED driver — signals readiness for payoff phase</w:t>
            </w:r>
          </w:p>
        </w:tc>
      </w:tr>
    </w:tbl>
    <w:p>
      <w:r>
        <w:t xml:space="preserve"/>
      </w:r>
    </w:p>
    <w:p>
      <w:pPr>
        <w:pStyle w:val="Heading2"/>
      </w:pPr>
      <w:r>
        <w:rPr>
          <w:rFonts w:ascii="Arial" w:cs="Arial" w:eastAsia="Arial" w:hAnsi="Arial"/>
          <w:b/>
          <w:bCs/>
          <w:sz w:val="26"/>
          <w:szCs w:val="26"/>
        </w:rPr>
        <w:t xml:space="preserve">7.  Suggested IC Implementation (74HC Series, 5V rail)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2160"/>
        <w:gridCol w:w="3960"/>
      </w:tblGrid>
      <w:tr>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IC / Component</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Used for</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Key connections</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74HC08</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Quad 2-input AND</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AND1 (conversion), AND2 (sync)</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AND1: pins 1,2→3; AND2: pins 4,5→6; 2 gates spare</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74HC244 (shared)</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Octal buffer</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BUF1 (G3P_B pass-through)</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One channel; AND2 output also feeds Step 6 via a spare channel</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PN2222A (x2)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NPN BJT</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Q1 G3P_A LED, Q2 Both Ready LED</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Each: Base 1kΩ from gate out; Collector: LED → 330Ω → Vcc; Emitter: GND</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LED blue (x1)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G3P_A conversion</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Q1 load</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Blue matches Step 4 G3P_A LED colour — same molecule, now converted</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LED green (x1)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Both Ready indicator</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Q2 load</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Green — go signal for the payoff phase</w:t>
            </w:r>
          </w:p>
        </w:tc>
      </w:tr>
    </w:tbl>
    <w:p>
      <w:r>
        <w:t xml:space="preserve"/>
      </w:r>
    </w:p>
    <w:p>
      <w:pPr>
        <w:spacing w:after="120"/>
      </w:pPr>
      <w:r>
        <w:rPr>
          <w:rFonts w:ascii="Arial" w:cs="Arial" w:eastAsia="Arial" w:hAnsi="Arial"/>
          <w:sz w:val="22"/>
          <w:szCs w:val="22"/>
        </w:rPr>
        <w:t xml:space="preserve">Both AND gates fit within a single 74HC08 package — this step uses only two of the four available gates, leaving two spare. The 74HC244 buffer for G3P_B can share the same IC used in Steps 3 or 4 if spare channels remain, keeping the IC count low.</w:t>
      </w:r>
    </w:p>
    <w:p>
      <w:r>
        <w:t xml:space="preserve"/>
      </w:r>
    </w:p>
    <w:p>
      <w:pPr>
        <w:pStyle w:val="Heading2"/>
      </w:pPr>
      <w:r>
        <w:rPr>
          <w:rFonts w:ascii="Arial" w:cs="Arial" w:eastAsia="Arial" w:hAnsi="Arial"/>
          <w:b/>
          <w:bCs/>
          <w:sz w:val="26"/>
          <w:szCs w:val="26"/>
        </w:rPr>
        <w:t xml:space="preserve">8.  LED Colour Rationale — Step 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5040"/>
      </w:tblGrid>
      <w:tr>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LED</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Suggested Colour</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Pedagogical Reason</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G3P_A LED</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Blue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Matches the G3P_A LED colour from Step 4 — same molecule, now successfully converted from DHAP</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Both Ready LED</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Green</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Green = go. This is the gateway to the payoff phase — the most positive signal in the preparatory phase</w:t>
            </w:r>
          </w:p>
        </w:tc>
      </w:tr>
    </w:tbl>
    <w:p>
      <w:r>
        <w:t xml:space="preserve"/>
      </w:r>
    </w:p>
    <w:p>
      <w:pPr>
        <w:spacing w:after="120"/>
      </w:pPr>
      <w:r>
        <w:rPr>
          <w:rFonts w:ascii="Arial" w:cs="Arial" w:eastAsia="Arial" w:hAnsi="Arial"/>
          <w:sz w:val="22"/>
          <w:szCs w:val="22"/>
        </w:rPr>
        <w:t xml:space="preserve">The Both Ready LED being green is intentional — it visually signals the transition from investment to return. After five steps of spending ATP and preparing molecules, the green LED marks the moment the cell is ready to start earning back its investment.</w:t>
      </w:r>
    </w:p>
    <w:p>
      <w:r>
        <w:t xml:space="preserve"/>
      </w:r>
    </w:p>
    <w:p>
      <w:pPr>
        <w:pStyle w:val="Heading2"/>
      </w:pPr>
      <w:r>
        <w:rPr>
          <w:rFonts w:ascii="Arial" w:cs="Arial" w:eastAsia="Arial" w:hAnsi="Arial"/>
          <w:b/>
          <w:bCs/>
          <w:sz w:val="26"/>
          <w:szCs w:val="26"/>
        </w:rPr>
        <w:t xml:space="preserve">9.  ATP Counter — Step 5</w:t>
      </w:r>
    </w:p>
    <w:p>
      <w:pPr>
        <w:spacing w:after="120"/>
      </w:pPr>
      <w:r>
        <w:rPr>
          <w:rFonts w:ascii="Arial" w:cs="Arial" w:eastAsia="Arial" w:hAnsi="Arial"/>
          <w:sz w:val="22"/>
          <w:szCs w:val="22"/>
        </w:rPr>
        <w:t xml:space="preserve">No ATP is consumed or produced. The counter holds at -2, the lowest point of the entire pathway. No connection to the 74HC193 clock is required for this step.</w:t>
      </w:r>
    </w:p>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Reaction</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ATP Change</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Net ATP</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Counter Action</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Glucose → G6P</w:t>
            </w:r>
          </w:p>
        </w:tc>
        <w:tc>
          <w:tcPr>
            <w:tcW w:type="auto" w:w="1"/>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Decrement</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G6P → F6P</w:t>
            </w:r>
          </w:p>
        </w:tc>
        <w:tc>
          <w:tcPr>
            <w:tcW w:type="auto" w:w="1"/>
            <w:tcBorders>
              <w:top w:val="single" w:color="AAAAAA" w:sz="1"/>
              <w:left w:val="single" w:color="AAAAAA" w:sz="1"/>
              <w:bottom w:val="single" w:color="AAAAAA" w:sz="1"/>
              <w:right w:val="single" w:color="AAAAAA" w:sz="1"/>
            </w:tcBorders>
            <w:shd w:fill="EDEDED"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 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Hold</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3</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F6P → F-1,6-BP</w:t>
            </w:r>
          </w:p>
        </w:tc>
        <w:tc>
          <w:tcPr>
            <w:tcW w:type="auto" w:w="1"/>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Decrement</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4</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F-1,6-BP → DHAP + G3P</w:t>
            </w:r>
          </w:p>
        </w:tc>
        <w:tc>
          <w:tcPr>
            <w:tcW w:type="auto" w:w="1"/>
            <w:tcBorders>
              <w:top w:val="single" w:color="AAAAAA" w:sz="1"/>
              <w:left w:val="single" w:color="AAAAAA" w:sz="1"/>
              <w:bottom w:val="single" w:color="AAAAAA" w:sz="1"/>
              <w:right w:val="single" w:color="AAAAAA" w:sz="1"/>
            </w:tcBorders>
            <w:shd w:fill="EDEDED"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 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Hold</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5  ◄</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DHAP → G3P_A</w:t>
            </w:r>
          </w:p>
        </w:tc>
        <w:tc>
          <w:tcPr>
            <w:tcW w:type="auto" w:w="1"/>
            <w:tcBorders>
              <w:top w:val="single" w:color="AAAAAA" w:sz="1"/>
              <w:left w:val="single" w:color="AAAAAA" w:sz="1"/>
              <w:bottom w:val="single" w:color="AAAAAA" w:sz="1"/>
              <w:right w:val="single" w:color="AAAAAA" w:sz="1"/>
            </w:tcBorders>
            <w:shd w:fill="EDEDED"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 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HOLD  ◄</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6-9</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Payoff phase (x2 each)</w:t>
            </w:r>
          </w:p>
        </w:tc>
        <w:tc>
          <w:tcPr>
            <w:tcW w:type="auto" w:w="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+4</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Increment x4</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PEP → Pyruvate</w:t>
            </w:r>
          </w:p>
        </w:tc>
        <w:tc>
          <w:tcPr>
            <w:tcW w:type="auto" w:w="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Increment x2</w:t>
            </w:r>
          </w:p>
        </w:tc>
      </w:tr>
    </w:tbl>
    <w:p>
      <w:r>
        <w:t xml:space="preserve"/>
      </w:r>
    </w:p>
    <w:p>
      <w:pPr>
        <w:spacing w:after="120"/>
      </w:pPr>
      <w:r>
        <w:rPr>
          <w:rFonts w:ascii="Arial" w:cs="Arial" w:eastAsia="Arial" w:hAnsi="Arial"/>
          <w:sz w:val="22"/>
          <w:szCs w:val="22"/>
        </w:rPr>
        <w:t xml:space="preserve">The Both Ready LED firing is a natural classroom pause point — the counter shows -2, the maximum debt, and students can predict what happens next: six steps of earning ATP back. A good moment to ask how many ATP are needed to break even.</w:t>
      </w:r>
    </w:p>
    <w:p>
      <w:r>
        <w:t xml:space="preserve"/>
      </w:r>
    </w:p>
    <w:p>
      <w:pPr>
        <w:pStyle w:val="Heading2"/>
      </w:pPr>
      <w:r>
        <w:rPr>
          <w:rFonts w:ascii="Arial" w:cs="Arial" w:eastAsia="Arial" w:hAnsi="Arial"/>
          <w:b/>
          <w:bCs/>
          <w:sz w:val="26"/>
          <w:szCs w:val="26"/>
        </w:rPr>
        <w:t xml:space="preserve">10.  Full Truth Table — Step 5</w:t>
      </w:r>
    </w:p>
    <w:p>
      <w:pPr>
        <w:spacing w:after="120"/>
      </w:pPr>
      <w:r>
        <w:rPr>
          <w:rFonts w:ascii="Arial" w:cs="Arial" w:eastAsia="Arial" w:hAnsi="Arial"/>
          <w:sz w:val="22"/>
          <w:szCs w:val="22"/>
        </w:rPr>
        <w:t xml:space="preserve">Path A sub-table (AND1):</w:t>
      </w:r>
    </w:p>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DHAP</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Isomerase En.</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G3P_A</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G3P_A LED</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OFF</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9F0"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OFF</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9F0"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OFF</w:t>
            </w:r>
          </w:p>
        </w:tc>
      </w:tr>
      <w:tr>
        <w:tc>
          <w:tcPr>
            <w:tcW w:type="auto" w:w="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Courier New" w:cs="Courier New" w:eastAsia="Courier New" w:hAnsi="Courier New"/>
                <w:b/>
                <w:bCs/>
                <w:sz w:val="20"/>
                <w:szCs w:val="20"/>
              </w:rPr>
              <w:t xml:space="preserve">1  ✓</w:t>
            </w:r>
          </w:p>
        </w:tc>
        <w:tc>
          <w:tcPr>
            <w:tcW w:type="auto" w:w="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ON  ✓</w:t>
            </w:r>
          </w:p>
        </w:tc>
      </w:tr>
    </w:tbl>
    <w:p>
      <w:r>
        <w:t xml:space="preserve"/>
      </w:r>
    </w:p>
    <w:p>
      <w:pPr>
        <w:spacing w:after="120"/>
      </w:pPr>
      <w:r>
        <w:rPr>
          <w:rFonts w:ascii="Arial" w:cs="Arial" w:eastAsia="Arial" w:hAnsi="Arial"/>
          <w:sz w:val="22"/>
          <w:szCs w:val="22"/>
        </w:rPr>
        <w:t xml:space="preserve">Synchronisation gate sub-table (AND2):</w:t>
      </w:r>
    </w:p>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G3P_A</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G3P_B</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BOTH_READY</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Both Ready LED</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OFF</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9F0"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OFF — waiting for G3P_B</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9F0"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OFF — waiting for G3P_A</w:t>
            </w:r>
          </w:p>
        </w:tc>
      </w:tr>
      <w:tr>
        <w:tc>
          <w:tcPr>
            <w:tcW w:type="auto" w:w="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Courier New" w:cs="Courier New" w:eastAsia="Courier New" w:hAnsi="Courier New"/>
                <w:b/>
                <w:bCs/>
                <w:sz w:val="20"/>
                <w:szCs w:val="20"/>
              </w:rPr>
              <w:t xml:space="preserve">1  ✓</w:t>
            </w:r>
          </w:p>
        </w:tc>
        <w:tc>
          <w:tcPr>
            <w:tcW w:type="auto" w:w="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ON  ✓</w:t>
            </w:r>
          </w:p>
        </w:tc>
      </w:tr>
    </w:tbl>
    <w:p>
      <w:r>
        <w:t xml:space="preserve"/>
      </w:r>
    </w:p>
    <w:p>
      <w:pPr>
        <w:spacing w:after="120"/>
      </w:pPr>
      <w:r>
        <w:rPr>
          <w:rFonts w:ascii="Arial" w:cs="Arial" w:eastAsia="Arial" w:hAnsi="Arial"/>
          <w:i/>
          <w:iCs/>
          <w:color w:val="555555"/>
          <w:sz w:val="22"/>
          <w:szCs w:val="22"/>
        </w:rPr>
        <w:t xml:space="preserve">Splitting the truth table into two sub-tables mirrors the two-stage logic clearly. Row 2 of the sync table (G3P_A ready, G3P_B waiting) models a fast TPI but slow Step 4 — G3P_B has not yet arrived. Row 3 (G3P_B ready, G3P_A waiting) models TPI inhibition holding up Path A.</w:t>
      </w:r>
    </w:p>
    <w:p>
      <w:r>
        <w:t xml:space="preserve"/>
      </w:r>
    </w:p>
    <w:p>
      <w:pPr>
        <w:pStyle w:val="Heading2"/>
      </w:pPr>
      <w:r>
        <w:rPr>
          <w:rFonts w:ascii="Arial" w:cs="Arial" w:eastAsia="Arial" w:hAnsi="Arial"/>
          <w:b/>
          <w:bCs/>
          <w:sz w:val="26"/>
          <w:szCs w:val="26"/>
        </w:rPr>
        <w:t xml:space="preserve">11.  Design Notes &amp; Pedagogical Callouts</w:t>
      </w:r>
    </w:p>
    <w:p>
      <w:pPr>
        <w:spacing w:after="120"/>
      </w:pPr>
      <w:r>
        <w:rPr>
          <w:rFonts w:ascii="Arial" w:cs="Arial" w:eastAsia="Arial" w:hAnsi="Arial"/>
          <w:sz w:val="22"/>
          <w:szCs w:val="22"/>
        </w:rPr>
        <w:t xml:space="preserve">The synchronisation gate as a biological concept: The Both Ready AND gate is not just circuit convenience — it directly models the cell's metabolic dependency. Steps 6 onward operate on G3P; they cannot proceed with only one molecule. The AND gate makes this dependency physically visible: cover either input wire and the Both Ready LED goes dark.</w:t>
      </w:r>
    </w:p>
    <w:p>
      <w:r>
        <w:t xml:space="preserve"/>
      </w:r>
    </w:p>
    <w:p>
      <w:pPr>
        <w:spacing w:after="120"/>
      </w:pPr>
      <w:r>
        <w:rPr>
          <w:rFonts w:ascii="Arial" w:cs="Arial" w:eastAsia="Arial" w:hAnsi="Arial"/>
          <w:sz w:val="22"/>
          <w:szCs w:val="22"/>
        </w:rPr>
        <w:t xml:space="preserve">TPI as a near-perfect enzyme: Triose Phosphate Isomerase is often cited in biochemistry as catalytically perfect — its rate is limited only by diffusion, not chemistry. The Isomerase Enable switch in the circuit almost always stays HIGH in a classroom setting, because TPI is rarely rate-limiting. This is worth discussing: some enzyme switches represent real regulatory points (PFK-1 in Step 3), while others (TPI) are effectively always on.</w:t>
      </w:r>
    </w:p>
    <w:p>
      <w:r>
        <w:t xml:space="preserve"/>
      </w:r>
    </w:p>
    <w:p>
      <w:pPr>
        <w:spacing w:after="120"/>
      </w:pPr>
      <w:r>
        <w:rPr>
          <w:rFonts w:ascii="Arial" w:cs="Arial" w:eastAsia="Arial" w:hAnsi="Arial"/>
          <w:sz w:val="22"/>
          <w:szCs w:val="22"/>
        </w:rPr>
        <w:t xml:space="preserve">Reversibility of Step 5: Like Step 2, this reaction is reversible. In the circuit, if DHAP input drops LOW, G3P_A goes LOW, and Both Ready drops LOW — which in biology would correspond to the reaction running backward if G3P accumulated. A useful parallel to draw with Step 2.</w:t>
      </w:r>
    </w:p>
    <w:p>
      <w:r>
        <w:t xml:space="preserve"/>
      </w:r>
    </w:p>
    <w:p>
      <w:pPr>
        <w:spacing w:after="120"/>
      </w:pPr>
      <w:r>
        <w:rPr>
          <w:rFonts w:ascii="Arial" w:cs="Arial" w:eastAsia="Arial" w:hAnsi="Arial"/>
          <w:sz w:val="22"/>
          <w:szCs w:val="22"/>
        </w:rPr>
        <w:t xml:space="preserve">Inter-step connections: AND2 output (Both Ready) connects to Step 6 as the G3P input signal. Since both G3P molecules are functionally identical from Step 6 onward, a single output line from AND2 is sufficient — the x2 multiplier is handled conceptually rather than with duplicate circuits.</w:t>
      </w:r>
    </w:p>
    <w:p>
      <w:r>
        <w:t xml:space="preserve"/>
      </w:r>
    </w:p>
    <w:p>
      <w:pPr>
        <w:spacing w:after="120"/>
      </w:pPr>
      <w:r>
        <w:rPr>
          <w:rFonts w:ascii="Arial" w:cs="Arial" w:eastAsia="Arial" w:hAnsi="Arial"/>
          <w:sz w:val="22"/>
          <w:szCs w:val="22"/>
        </w:rPr>
        <w:t xml:space="preserve">Next step: Step 6 — Glyceraldehyde-3-Phosphate Dehydrogenase (GAPDH) begins the payoff phase. It produces 1,3-Bisphosphoglycerate (1,3-BPG), NADH, and consumes inorganic phosphate (Pi). First step where outputs are counted x2. The ATP counter will start climbing from here.</w:t>
      </w:r>
    </w:p>
    <w:p>
      <w:r>
        <w:t xml:space="preserve"/>
      </w:r>
    </w:p>
    <w:p>
      <w:pPr>
        <w:pBdr>
          <w:top w:val="single" w:color="CCCCCC" w:sz="4" w:space="1"/>
        </w:pBdr>
        <w:spacing w:before="240"/>
        <w:jc w:val="center"/>
      </w:pPr>
      <w:r>
        <w:rPr>
          <w:rFonts w:ascii="Arial" w:cs="Arial" w:eastAsia="Arial" w:hAnsi="Arial"/>
          <w:i/>
          <w:iCs/>
          <w:color w:val="AAAAAA"/>
          <w:sz w:val="18"/>
          <w:szCs w:val="18"/>
        </w:rPr>
        <w:t xml:space="preserve">Glycolysis Logic Kit · Step 5/10 · For educational use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5276"/>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F618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2026-02-27T14:09:18.579Z</dcterms:created>
  <dcterms:modified xsi:type="dcterms:W3CDTF">2026-02-27T14:09:18.579Z</dcterms:modified>
</cp:coreProperties>
</file>

<file path=docProps/custom.xml><?xml version="1.0" encoding="utf-8"?>
<Properties xmlns="http://schemas.openxmlformats.org/officeDocument/2006/custom-properties" xmlns:vt="http://schemas.openxmlformats.org/officeDocument/2006/docPropsVTypes"/>
</file>