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8 of 10  ·  3-Phosphoglycerate → 2-Phosphoglycerate (2-PG)</w:t>
      </w:r>
    </w:p>
    <w:p>
      <w:pPr>
        <w:pBdr>
          <w:bottom w:val="single" w:color="1A5276" w:sz="6" w:space="1"/>
        </w:pBdr>
        <w:spacing w:after="240"/>
        <w:jc w:val="center"/>
      </w:pPr>
      <w:r>
        <w:rPr>
          <w:rFonts w:ascii="Arial" w:cs="Arial" w:eastAsia="Arial" w:hAnsi="Arial"/>
          <w:i/>
          <w:iCs/>
          <w:color w:val="888888"/>
          <w:sz w:val="22"/>
          <w:szCs w:val="22"/>
        </w:rPr>
        <w:t xml:space="preserve">Enzyme: Phosphoglycerate Mutase (PGM)  ·  ATP change: 0  ·  Net: 3-PG → 2-PG  (x2)</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Step 8 is catalysed by Phosphoglycerate Mutase (PGM), which moves the phosphate group from carbon 3 to carbon 2 of phosphoglycerate, converting 3-PG into 2-PG. No ATP is consumed or produced — this is purely a positional rearrangement of the phosphate group within the same molecule.</w:t>
      </w:r>
    </w:p>
    <w:p>
      <w:pPr>
        <w:spacing w:after="120"/>
      </w:pPr>
      <w:r>
        <w:rPr>
          <w:rFonts w:ascii="Arial" w:cs="Arial" w:eastAsia="Arial" w:hAnsi="Arial"/>
          <w:sz w:val="22"/>
          <w:szCs w:val="22"/>
        </w:rPr>
        <w:t xml:space="preserve">The purpose of this step is preparatory. Moving the phosphate to C2 creates a configuration that allows enolase (Step 9) to catalyse dehydration and produce the high-energy compound phosphoenolpyruvate (PEP). Without Step 8, the substrate would not be correctly positioned for the final two reactions.</w:t>
      </w:r>
    </w:p>
    <w:p>
      <w:pPr>
        <w:spacing w:after="120"/>
      </w:pPr>
      <w:r>
        <w:rPr>
          <w:rFonts w:ascii="Arial" w:cs="Arial" w:eastAsia="Arial" w:hAnsi="Arial"/>
          <w:sz w:val="22"/>
          <w:szCs w:val="22"/>
        </w:rPr>
        <w:t xml:space="preserve">The 'Relocated' LED name captures this perfectly — nothing is gained or lost, the phosphate has simply moved to a new position on the molecule. This is analogous to repositioning a piece on a board before making a decisive move.</w:t>
      </w:r>
    </w:p>
    <w:p>
      <w:pPr>
        <w:spacing w:after="120"/>
      </w:pPr>
      <w:r>
        <w:rPr>
          <w:rFonts w:ascii="Arial" w:cs="Arial" w:eastAsia="Arial" w:hAnsi="Arial"/>
          <w:sz w:val="22"/>
          <w:szCs w:val="22"/>
        </w:rPr>
        <w:t xml:space="preserve">Both molecules from Step 7 undergo this reaction (x2), but no counter change occurs. Two conditions must be true:</w:t>
      </w:r>
    </w:p>
    <w:p>
      <w:pPr>
        <w:spacing w:after="120"/>
      </w:pPr>
      <w:r>
        <w:rPr>
          <w:rFonts w:ascii="Arial" w:cs="Arial" w:eastAsia="Arial" w:hAnsi="Arial"/>
          <w:i/>
          <w:iCs/>
          <w:sz w:val="22"/>
          <w:szCs w:val="22"/>
        </w:rPr>
        <w:t xml:space="preserve">  • 3-PG is present (product of Step 7)</w:t>
      </w:r>
    </w:p>
    <w:p>
      <w:pPr>
        <w:spacing w:after="120"/>
      </w:pPr>
      <w:r>
        <w:rPr>
          <w:rFonts w:ascii="Arial" w:cs="Arial" w:eastAsia="Arial" w:hAnsi="Arial"/>
          <w:i/>
          <w:iCs/>
          <w:sz w:val="22"/>
          <w:szCs w:val="22"/>
        </w:rPr>
        <w:t xml:space="preserve">  • Phosphoglycerate Mutase is active</w:t>
      </w:r>
    </w:p>
    <w:p>
      <w:r>
        <w:t xml:space="preserve"/>
      </w:r>
    </w:p>
    <w:p>
      <w:pPr>
        <w:pStyle w:val="Heading2"/>
      </w:pPr>
      <w:r>
        <w:rPr>
          <w:rFonts w:ascii="Arial" w:cs="Arial" w:eastAsia="Arial" w:hAnsi="Arial"/>
          <w:b/>
          <w:bCs/>
          <w:sz w:val="26"/>
          <w:szCs w:val="26"/>
        </w:rPr>
        <w:t xml:space="preserve">2.  Structural Parallel with Step 2</w:t>
      </w:r>
    </w:p>
    <w:p>
      <w:pPr>
        <w:spacing w:after="120"/>
      </w:pPr>
      <w:r>
        <w:rPr>
          <w:rFonts w:ascii="Arial" w:cs="Arial" w:eastAsia="Arial" w:hAnsi="Arial"/>
          <w:sz w:val="22"/>
          <w:szCs w:val="22"/>
        </w:rPr>
        <w:t xml:space="preserve">Step 8 is the payoff-phase counterpart to Step 2 — both are simple isomerisations with a single AND gate, one buffered output, and one LED. The parallel is worth drawing explicitly for students.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2 (Prep phase)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8 (Payoff phase)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Phosphoglucose Isomerase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Phosphoglycerate Mutase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type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Ring isomerisation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group relocation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Gate count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1x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1x AND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change</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label</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(isomerisation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Relocated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Reversible?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Yes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Yes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Purpose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Prepare for PFK-1 (Step 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Prepare for Enolase (Step 9)</w:t>
            </w:r>
          </w:p>
        </w:tc>
      </w:tr>
    </w:tbl>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(from Step 7)</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present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Step 7 not complete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Mutase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PGM 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PGM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 gate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relocation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Product (x2)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product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Relocated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Positional rearrangement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 phosphate moved to C2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bl>
    <w:p>
      <w:r>
        <w:t xml:space="preserve"/>
      </w:r>
    </w:p>
    <w:p>
      <w:pPr>
        <w:pStyle w:val="Heading2"/>
      </w:pPr>
      <w:r>
        <w:rPr>
          <w:rFonts w:ascii="Arial" w:cs="Arial" w:eastAsia="Arial" w:hAnsi="Arial"/>
          <w:b/>
          <w:bCs/>
          <w:sz w:val="26"/>
          <w:szCs w:val="26"/>
        </w:rPr>
        <w:t xml:space="preserve">4.  Boolean Logic Expression</w:t>
      </w:r>
    </w:p>
    <w:p>
      <w:r>
        <w:t xml:space="preserve"/>
      </w:r>
    </w:p>
    <w:p>
      <w:pPr>
        <w:spacing w:before="60" w:after="60"/>
      </w:pPr>
      <w:r>
        <w:rPr>
          <w:rFonts w:ascii="Courier New" w:cs="Courier New" w:eastAsia="Courier New" w:hAnsi="Courier New"/>
          <w:sz w:val="20"/>
          <w:szCs w:val="20"/>
        </w:rPr>
        <w:t xml:space="preserve">  REACTION      =  3-PG  AND  Mutase</w:t>
      </w:r>
    </w:p>
    <w:p>
      <w:pPr>
        <w:spacing w:before="60" w:after="60"/>
      </w:pPr>
      <w:r>
        <w:rPr>
          <w:rFonts w:ascii="Courier New" w:cs="Courier New" w:eastAsia="Courier New" w:hAnsi="Courier New"/>
          <w:sz w:val="20"/>
          <w:szCs w:val="20"/>
        </w:rPr>
        <w:t xml:space="preserve">  2-PG          =  REACTION   (BUF1)   [x2 → Step 9]</w:t>
      </w:r>
    </w:p>
    <w:p>
      <w:pPr>
        <w:spacing w:before="60" w:after="60"/>
      </w:pPr>
      <w:r>
        <w:rPr>
          <w:rFonts w:ascii="Courier New" w:cs="Courier New" w:eastAsia="Courier New" w:hAnsi="Courier New"/>
          <w:sz w:val="20"/>
          <w:szCs w:val="20"/>
        </w:rPr>
        <w:t xml:space="preserve">  Relocated_LED =  REACTION   (Q1 LED driver)</w:t>
      </w:r>
    </w:p>
    <w:p>
      <w:r>
        <w:t xml:space="preserve"/>
      </w:r>
    </w:p>
    <w:p>
      <w:pPr>
        <w:spacing w:after="120"/>
      </w:pPr>
      <w:r>
        <w:rPr>
          <w:rFonts w:ascii="Arial" w:cs="Arial" w:eastAsia="Arial" w:hAnsi="Arial"/>
          <w:sz w:val="22"/>
          <w:szCs w:val="22"/>
        </w:rPr>
        <w:t xml:space="preserve">The simplest logic expression since Step 2. No ATP routing, no counter connection, no intermediate gates. The AND output drives two loads — one buffer and one LED driver.</w:t>
      </w:r>
    </w:p>
    <w:p>
      <w:r>
        <w:t xml:space="preserve"/>
      </w:r>
    </w:p>
    <w:p>
      <w:pPr>
        <w:pStyle w:val="Heading2"/>
      </w:pPr>
      <w:r>
        <w:rPr>
          <w:rFonts w:ascii="Arial" w:cs="Arial" w:eastAsia="Arial" w:hAnsi="Arial"/>
          <w:b/>
          <w:bCs/>
          <w:sz w:val="26"/>
          <w:szCs w:val="26"/>
        </w:rPr>
        <w:t xml:space="preserve">5.  Text-Based Schematic</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160"/>
        <w:gridCol w:w="2600"/>
        <w:gridCol w:w="160"/>
        <w:gridCol w:w="506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LOGIC GATE</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3-PG (← Step 7)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Mutase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[BUF1] ──► 2-PG (x2 → Step 9)</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[Q1/LED] ──► Relocated</w:t>
            </w:r>
          </w:p>
        </w:tc>
      </w:tr>
    </w:tbl>
    <w:p>
      <w:r>
        <w:t xml:space="preserve"/>
      </w:r>
    </w:p>
    <w:p>
      <w:pPr>
        <w:spacing w:after="120"/>
      </w:pPr>
      <w:r>
        <w:rPr>
          <w:rFonts w:ascii="Arial" w:cs="Arial" w:eastAsia="Arial" w:hAnsi="Arial"/>
          <w:sz w:val="22"/>
          <w:szCs w:val="22"/>
        </w:rPr>
        <w:t xml:space="preserve">Single AND gate output fans to a buffer (2-PG to Step 9) and a BJT LED driver (Relocated indicator). No intermediate gates, no counter routing.</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800"/>
        <w:gridCol w:w="1800"/>
        <w:gridCol w:w="360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Mutase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Phosphate relocation enable — substrate and enzyme present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2-PG output to Step 9</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 (PN2222)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Relocated LED driver</w:t>
            </w:r>
          </w:p>
        </w:tc>
      </w:tr>
    </w:tbl>
    <w:p>
      <w:r>
        <w:t xml:space="preserve"/>
      </w:r>
    </w:p>
    <w:p>
      <w:pPr>
        <w:pStyle w:val="Heading2"/>
      </w:pPr>
      <w:r>
        <w:rPr>
          <w:rFonts w:ascii="Arial" w:cs="Arial" w:eastAsia="Arial" w:hAnsi="Arial"/>
          <w:b/>
          <w:bCs/>
          <w:sz w:val="26"/>
          <w:szCs w:val="26"/>
        </w:rPr>
        <w:t xml:space="preserve">7.  Suggested IC Implementation (74HC Series, 5V rail)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 gate used — share with Step 7 or Step 9 IC if spare gates available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(2-PG)</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 channel used — share with adjacent step IC</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Relocated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AND1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purple/violet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Relocated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Q1 load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Purple — subtle positional change, no energy event</w:t>
            </w:r>
          </w:p>
        </w:tc>
      </w:tr>
    </w:tbl>
    <w:p>
      <w:r>
        <w:t xml:space="preserve"/>
      </w:r>
    </w:p>
    <w:p>
      <w:pPr>
        <w:spacing w:after="120"/>
      </w:pPr>
      <w:r>
        <w:rPr>
          <w:rFonts w:ascii="Arial" w:cs="Arial" w:eastAsia="Arial" w:hAnsi="Arial"/>
          <w:sz w:val="22"/>
          <w:szCs w:val="22"/>
        </w:rPr>
        <w:t xml:space="preserve">Step 8 requires only one AND gate and one buffer channel. Both can almost certainly be taken from spare gates on ICs already placed for Steps 7 or 9, meaning Step 8 may add zero new ICs to the board — just one BJT and one LED.</w:t>
      </w:r>
    </w:p>
    <w:p>
      <w:r>
        <w:t xml:space="preserve"/>
      </w:r>
    </w:p>
    <w:p>
      <w:pPr>
        <w:pStyle w:val="Heading2"/>
      </w:pPr>
      <w:r>
        <w:rPr>
          <w:rFonts w:ascii="Arial" w:cs="Arial" w:eastAsia="Arial" w:hAnsi="Arial"/>
          <w:b/>
          <w:bCs/>
          <w:sz w:val="26"/>
          <w:szCs w:val="26"/>
        </w:rPr>
        <w:t xml:space="preserve">8.  ATP Counter — Step 8</w:t>
      </w:r>
    </w:p>
    <w:p>
      <w:pPr>
        <w:spacing w:after="120"/>
      </w:pPr>
      <w:r>
        <w:rPr>
          <w:rFonts w:ascii="Arial" w:cs="Arial" w:eastAsia="Arial" w:hAnsi="Arial"/>
          <w:sz w:val="22"/>
          <w:szCs w:val="22"/>
        </w:rPr>
        <w:t xml:space="preserve">No ATP change. Counter holds at 0. No connection to the 74HC193 required.</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F-1,6-BP → DHAP+G3P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DHAP → G3P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G3P → 1,3-BPG + NADH</w:t>
            </w:r>
          </w:p>
        </w:tc>
        <w:tc>
          <w:tcPr>
            <w:tcW w:type="auto" w:w="1"/>
            <w:tcBorders>
              <w:top w:val="single" w:color="AAAAAA" w:sz="1"/>
              <w:left w:val="single" w:color="AAAAAA" w:sz="1"/>
              <w:bottom w:val="single" w:color="AAAAAA" w:sz="1"/>
              <w:right w:val="single" w:color="AAAAAA" w:sz="1"/>
            </w:tcBorders>
            <w:shd w:fill="FEF9E7"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1,3-BPG → 3-PG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8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3-PG → 2-PG</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2-PG → PEP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 + ATP</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pStyle w:val="Heading2"/>
      </w:pPr>
      <w:r>
        <w:rPr>
          <w:rFonts w:ascii="Arial" w:cs="Arial" w:eastAsia="Arial" w:hAnsi="Arial"/>
          <w:b/>
          <w:bCs/>
          <w:sz w:val="26"/>
          <w:szCs w:val="26"/>
        </w:rPr>
        <w:t xml:space="preserve">9.  Full Truth Table — Step 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3-PG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Mutase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 / 2-PG</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Relocated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The smallest truth table in the kit — two inputs, four rows. Row 2 (substrate waiting, no enzyme) and Row 3 (enzyme ready, no substrate) are both straightforward pipeline-stall cases. No partial-product complexity since there is only one output.</w:t>
      </w:r>
    </w:p>
    <w:p>
      <w:r>
        <w:t xml:space="preserve"/>
      </w:r>
    </w:p>
    <w:p>
      <w:pPr>
        <w:pStyle w:val="Heading2"/>
      </w:pPr>
      <w:r>
        <w:rPr>
          <w:rFonts w:ascii="Arial" w:cs="Arial" w:eastAsia="Arial" w:hAnsi="Arial"/>
          <w:b/>
          <w:bCs/>
          <w:sz w:val="26"/>
          <w:szCs w:val="26"/>
        </w:rPr>
        <w:t xml:space="preserve">10.  Design Notes &amp; Pedagogical Callouts</w:t>
      </w:r>
    </w:p>
    <w:p>
      <w:pPr>
        <w:spacing w:after="120"/>
      </w:pPr>
      <w:r>
        <w:rPr>
          <w:rFonts w:ascii="Arial" w:cs="Arial" w:eastAsia="Arial" w:hAnsi="Arial"/>
          <w:sz w:val="22"/>
          <w:szCs w:val="22"/>
        </w:rPr>
        <w:t xml:space="preserve">The 'Relocated' LED name: This is one of the most descriptive LED labels in the kit — a phosphate group has physically moved from one carbon to another within the same molecule. Nothing was created or destroyed, only repositioned. The LED name makes an abstract intramolecular rearrangement tangible and memorable.</w:t>
      </w:r>
    </w:p>
    <w:p>
      <w:r>
        <w:t xml:space="preserve"/>
      </w:r>
    </w:p>
    <w:p>
      <w:pPr>
        <w:spacing w:after="120"/>
      </w:pPr>
      <w:r>
        <w:rPr>
          <w:rFonts w:ascii="Arial" w:cs="Arial" w:eastAsia="Arial" w:hAnsi="Arial"/>
          <w:sz w:val="22"/>
          <w:szCs w:val="22"/>
        </w:rPr>
        <w:t xml:space="preserve">Mutase mechanism — a cofactor disguised as an enzyme: Phosphoglycerate Mutase uses 2,3-BPG as a cofactor in its catalytic cycle. The enzyme temporarily donates a phosphate to C2, picks up the one from C3, and regenerates itself. This means PGM is technically acting as both a catalyst and a transient phosphate carrier. Advanced students may find this interesting — the enzyme is its own intermediate.</w:t>
      </w:r>
    </w:p>
    <w:p>
      <w:r>
        <w:t xml:space="preserve"/>
      </w:r>
    </w:p>
    <w:p>
      <w:pPr>
        <w:spacing w:after="120"/>
      </w:pPr>
      <w:r>
        <w:rPr>
          <w:rFonts w:ascii="Arial" w:cs="Arial" w:eastAsia="Arial" w:hAnsi="Arial"/>
          <w:sz w:val="22"/>
          <w:szCs w:val="22"/>
        </w:rPr>
        <w:t xml:space="preserve">Reversibility: Like Steps 2 and 5, this reaction is reversible. The circuit models the forward direction only — but removing the 3-PG input while 2-PG is present would, biologically, drive the reaction backward toward 3-PG if Step 7 were to stall. A consistent discussion point across all three reversible isomerisation steps.</w:t>
      </w:r>
    </w:p>
    <w:p>
      <w:r>
        <w:t xml:space="preserve"/>
      </w:r>
    </w:p>
    <w:p>
      <w:pPr>
        <w:spacing w:after="120"/>
      </w:pPr>
      <w:r>
        <w:rPr>
          <w:rFonts w:ascii="Arial" w:cs="Arial" w:eastAsia="Arial" w:hAnsi="Arial"/>
          <w:sz w:val="22"/>
          <w:szCs w:val="22"/>
        </w:rPr>
        <w:t xml:space="preserve">Component sharing: Step 8 is lean enough that it should share ICs with Steps 7 or 9. When laying out the PCB or breadboard, place Step 8 physically between Steps 7 and 9 so that shared ICs are centrally accessible. One 74HC08 can serve all three steps if gates are allocated carefully.</w:t>
      </w:r>
    </w:p>
    <w:p>
      <w:r>
        <w:t xml:space="preserve"/>
      </w:r>
    </w:p>
    <w:p>
      <w:pPr>
        <w:spacing w:after="120"/>
      </w:pPr>
      <w:r>
        <w:rPr>
          <w:rFonts w:ascii="Arial" w:cs="Arial" w:eastAsia="Arial" w:hAnsi="Arial"/>
          <w:sz w:val="22"/>
          <w:szCs w:val="22"/>
        </w:rPr>
        <w:t xml:space="preserve">Next step: Step 9 — Enolase removes a water molecule from 2-PG to produce Phosphoenolpyruvate (PEP). No ATP change, but the product PEP is the highest-energy compound in glycolysis — primed for the final ATP-producing step.</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8/10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2026-02-27T14:39:31.769Z</dcterms:created>
  <dcterms:modified xsi:type="dcterms:W3CDTF">2026-02-27T14:39:31.771Z</dcterms:modified>
</cp:coreProperties>
</file>

<file path=docProps/custom.xml><?xml version="1.0" encoding="utf-8"?>
<Properties xmlns="http://schemas.openxmlformats.org/officeDocument/2006/custom-properties" xmlns:vt="http://schemas.openxmlformats.org/officeDocument/2006/docPropsVTypes"/>
</file>