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111111"/>
          <w:sz w:val="30"/>
        </w:rPr>
        <w:t>Pemodelan Penelusuran Kontekstual Arsip Digital Berbasis Standar Records in Contexts (RiC-CM): Implementasi dan Evaluasi pada Sistem Arteri-2</w:t>
      </w:r>
    </w:p>
    <w:p>
      <w:pPr>
        <w:spacing w:after="360"/>
        <w:jc w:val="center"/>
      </w:pPr>
      <w:r>
        <w:rPr>
          <w:rFonts w:ascii="Times New Roman" w:hAnsi="Times New Roman"/>
          <w:b/>
          <w:sz w:val="22"/>
        </w:rPr>
        <w:t>Syauqi Fuadi, S.Hum.*1, [Penulis Kedua]2</w:t>
        <w:br/>
      </w:r>
      <w:r>
        <w:rPr>
          <w:rFonts w:ascii="Times New Roman" w:hAnsi="Times New Roman"/>
          <w:i/>
          <w:sz w:val="19"/>
        </w:rPr>
        <w:t>1Program Studi Ilmu Perpustakaan / Peminatan Kearsipan, Fakultas Ilmu Pengetahuan Budaya, Universitas Indonesia</w:t>
        <w:br/>
        <w:t>2[Afiliasi Penulis Kedua]</w:t>
        <w:br/>
      </w:r>
      <w:r>
        <w:rPr>
          <w:rFonts w:ascii="Times New Roman" w:hAnsi="Times New Roman"/>
          <w:i/>
          <w:sz w:val="18"/>
        </w:rPr>
        <w:t>*Penulis Korespondensi: syauqi@fuadi.dev / xfuadi@gmail.com</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CCCCCC"/>
              <w:left w:val="none"/>
              <w:bottom w:val="single" w:sz="6" w:space="0" w:color="CCCCCC"/>
              <w:right w:val="none"/>
            </w:tcBorders>
          </w:tcPr>
          <w:p>
            <w:pPr>
              <w:spacing w:before="120" w:after="120" w:line="276" w:lineRule="auto"/>
            </w:pPr>
            <w:r>
              <w:rPr>
                <w:rFonts w:ascii="Times New Roman" w:hAnsi="Times New Roman"/>
                <w:b/>
                <w:sz w:val="20"/>
              </w:rPr>
              <w:t>ABSTRAK</w:t>
              <w:br/>
            </w:r>
            <w:r>
              <w:rPr>
                <w:rFonts w:ascii="Times New Roman" w:hAnsi="Times New Roman"/>
                <w:sz w:val="19"/>
              </w:rPr>
              <w:t>Sistem temu kembali arsip dinamis dan inaktif pada instansi pemerintah umumnya bertumpu pada pencarian leksikal kata kunci dan pengurutan kronologis datar. Paradigma ini mengabaikan hubungan provenans multidimensi—seperti keterkaitan antara unit pencipta (Agent), urusan/fungsi kerja (Activity), dan berkas fisik/logis (Record Resource)—sehingga menyebabkan terputusnya konteks proses bisnis (semantic disconnection) saat pengguna menelusuri berkas terkait (dossier discovery). Penelitian ini menerapkan metodologi Design Science Research (DSR) empat fase (Peffers et al., 2007) untuk merancang, mengimplementasikan, dan mengevaluasi artefak mesin penelusur kontekstual (Contextual Discovery Engine) berbasis standar internasional Records in Contexts Conceptual Model (ICA RiC-CM v1.0) dan ontologi RiC-O pada sistem manajemen arsip Arteri-2 (CodeIgniter 4, PHP 8.4, MySQL/SQLite).</w:t>
              <w:br/>
              <w:br/>
              <w:t>Artefak yang dibangun mengoperasionalkan formula Contextual Affinity Score (CAS) yang menggabungkan tiga dimensi relasional kearsipan: (i) afinitas keagenan (Agent Affinity, bobot 0,35) berbasis pencipta dan unit pengolah, (ii) afinitas fungsional (Activity Affinity, bobot 0,45) berbasis hierarki kode klasifikasi urusan, dan (iii) kedekatan kurun waktu (Temporal Proximity, bobot 0,20) dengan peluruhan eksponensial. Selain antarmuka penelusuran graf kontekstual, sistem menyediakan interoperabilitas data terbuka melalui generator semantik JSON-LD RiC-O. Evaluasi empiris benchmark terkontrol terhadap berbagai klaster proses bisnis kearsipan pemerintah (pengadaan, rekrutmen, audit, dan perencanaan) menunjukkan performa unggul dibandingkan metode kronologis konvensional: P@5 = 0,8870 (ΔP@5 = +0,6348), P@10 = 0,5130 (ΔP@10 = +0,2522), Recall@10 = 1,0000 (ΔRecall@10 = +0,5280), dan MRR = 1,0000 (ΔMRR = +0,6554). Hasil ini membuktikan bahwa pemodelan graf RiC-CM efektif menjembatani ontologi kearsipan modern ke dalam basis data relasional operasional tanpa memerlukan perombakan infrastruktur basis data yang masif.</w:t>
              <w:br/>
              <w:br/>
            </w:r>
            <w:r>
              <w:rPr>
                <w:rFonts w:ascii="Times New Roman" w:hAnsi="Times New Roman"/>
                <w:b/>
                <w:i/>
                <w:sz w:val="19"/>
              </w:rPr>
              <w:t xml:space="preserve">Kata Kunci: </w:t>
            </w:r>
            <w:r>
              <w:rPr>
                <w:rFonts w:ascii="Times New Roman" w:hAnsi="Times New Roman"/>
                <w:i/>
                <w:sz w:val="19"/>
              </w:rPr>
              <w:t>Records in Contexts, RiC-CM, RiC-O, temu kembali kontekstual, ontologi kearsipan, rekonsiliasi provenans, Arteri-2, Design Science Research</w:t>
            </w:r>
          </w:p>
        </w:tc>
      </w:tr>
    </w:tbl>
    <w:p>
      <w:pPr>
        <w:spacing w:after="240"/>
      </w:pPr>
    </w:p>
    <w:p>
      <w:pPr>
        <w:keepNext/>
        <w:spacing w:before="280" w:after="120"/>
      </w:pPr>
      <w:r>
        <w:rPr>
          <w:rFonts w:ascii="Times New Roman" w:hAnsi="Times New Roman"/>
          <w:b/>
          <w:color w:val="111111"/>
          <w:sz w:val="24"/>
        </w:rPr>
        <w:t>Bagian 1. Pendahuluan</w:t>
      </w:r>
    </w:p>
    <w:p>
      <w:pPr>
        <w:keepNext/>
        <w:spacing w:before="200" w:after="80"/>
      </w:pPr>
      <w:r>
        <w:rPr>
          <w:rFonts w:ascii="Times New Roman" w:hAnsi="Times New Roman"/>
          <w:b/>
          <w:color w:val="222222"/>
          <w:sz w:val="22"/>
        </w:rPr>
        <w:t>Bagian 1.1 Latar Belakang</w:t>
      </w:r>
    </w:p>
    <w:p>
      <w:pPr>
        <w:spacing w:after="120" w:line="276" w:lineRule="auto"/>
        <w:jc w:val="both"/>
      </w:pPr>
      <w:r>
        <w:rPr>
          <w:rFonts w:ascii="Times New Roman" w:hAnsi="Times New Roman"/>
          <w:sz w:val="22"/>
        </w:rPr>
        <w:t>Pengelolaan arsip dinamis dan inaktif di lembaga publik bertujuan menjamin ketersediaan rekaman autentik guna mendukung akuntabilitas kinerja, audit hukum, dan preservasi memori institusi. Dalam tradisi kearsipan, nilai bukti (evidential value) suatu arsip tidak semata-mata bertumpu pada teks dokumen secara terisolasi, melainkan pada prinsip provenans (respect des fonds)—yaitu pemahaman mendalam mengenai siapa yang menciptakan dokumen, dalam rangka pelaksanaan tugas/fungsi apa, dan bagaimana hubungan berkas tersebut dengan dokumen lain dalam suatu siklus transaksi kerja (Duranti, 1997; MacNeil, 2000).</w:t>
      </w:r>
    </w:p>
    <w:p>
      <w:pPr>
        <w:spacing w:after="120" w:line="276" w:lineRule="auto"/>
        <w:jc w:val="both"/>
      </w:pPr>
      <w:r>
        <w:rPr>
          <w:rFonts w:ascii="Times New Roman" w:hAnsi="Times New Roman"/>
          <w:sz w:val="22"/>
        </w:rPr>
        <w:t>Namun demikian, pada implementasi sistem informasi kearsipan konvensional di berbagai lembaga, struktur basis data relasional (RDBMS) kerap merepresentasikan rekaman arsip sebagai baris tabel terisolasi. Ketika pengguna membuka rincian berkas tertentu, sistem hanya menampilkan atribut individual (nomor berkas, tanggal, uraian teks, lokasi fisik) tanpa menyediakan mekanisme penelusuran jejaring kontekstual yang menghubungkan berkas tersebut ke berkas lain yang berada dalam satu rantai kegiatan yang sama.</w:t>
      </w:r>
    </w:p>
    <w:p>
      <w:pPr>
        <w:keepNext/>
        <w:spacing w:before="200" w:after="80"/>
      </w:pPr>
      <w:r>
        <w:rPr>
          <w:rFonts w:ascii="Times New Roman" w:hAnsi="Times New Roman"/>
          <w:b/>
          <w:color w:val="222222"/>
          <w:sz w:val="22"/>
        </w:rPr>
        <w:t>Bagian 1.2 Kesenjangan Penelitian</w:t>
      </w:r>
    </w:p>
    <w:p>
      <w:pPr>
        <w:spacing w:after="120" w:line="276" w:lineRule="auto"/>
        <w:jc w:val="both"/>
      </w:pPr>
      <w:r>
        <w:rPr>
          <w:rFonts w:ascii="Times New Roman" w:hAnsi="Times New Roman"/>
          <w:sz w:val="22"/>
        </w:rPr>
        <w:t>Standar deskripsi kearsipan internasional telah mengalami pergeseran paradigma fundamental. Standar generasi terdahulu seperti ISAD(G) (General International Standard Archival Description) dan ISAAR(CPF) menerapkan struktur hierarkis pohon yang kaku, yang sering kali kesulitan merepresentasikan relasi multi-kelembagaan yang kompleks dalam administrasi publik modern. Untuk mengatasi batasan tersebut, International Council on Archives (ICA) merilis standar Records in Contexts (RiC), yang mencakup Conceptual Model (RiC-CM v1.0) dan representasi ontologi formalnya (Records in Contexts Ontology / RiC-O) (ICA Expert Group on Archival Description, 2023; Llanes-Padrón &amp; Pastor-Sánchez, 2017; Pitti et al., 2018).</w:t>
      </w:r>
    </w:p>
    <w:p>
      <w:pPr>
        <w:spacing w:after="120" w:line="276" w:lineRule="auto"/>
        <w:jc w:val="both"/>
      </w:pPr>
      <w:r>
        <w:rPr>
          <w:rFonts w:ascii="Times New Roman" w:hAnsi="Times New Roman"/>
          <w:sz w:val="22"/>
        </w:rPr>
        <w:t>Meskipun RiC-CM telah diakui secara luas dalam diskursus teoretis kearsipan, sebagian besar literatur yang ada berfokus pada perdebatan ontologis konseptual atau konversi metadata statis ke Resource Description Framework (RDF). Masih sangat terbatas kajian rekayasa perangkat lunak yang mengoperasionalkan prinsip graf relasional RiC ke dalam algoritma komputasi temu kembali pada aplikasi sistem informasi kearsipan aktif berbasis web. Kesenjangan ini menimbulkan pertanyaan praktis: bagaimana memetakan entitas graf RiC ke dalam skema basis data relasional yang telah ada, serta bagaimana merumuskan algoritma penelusuran kontekstual yang terukur secara empiris?</w:t>
      </w:r>
    </w:p>
    <w:p>
      <w:pPr>
        <w:keepNext/>
        <w:spacing w:before="200" w:after="80"/>
      </w:pPr>
      <w:r>
        <w:rPr>
          <w:rFonts w:ascii="Times New Roman" w:hAnsi="Times New Roman"/>
          <w:b/>
          <w:color w:val="222222"/>
          <w:sz w:val="22"/>
        </w:rPr>
        <w:t>Bagian 1.3 Pertanyaan Penelitian</w:t>
      </w:r>
    </w:p>
    <w:p>
      <w:pPr>
        <w:spacing w:after="120" w:line="276" w:lineRule="auto"/>
        <w:jc w:val="both"/>
      </w:pPr>
      <w:r>
        <w:rPr>
          <w:rFonts w:ascii="Times New Roman" w:hAnsi="Times New Roman"/>
          <w:sz w:val="22"/>
        </w:rPr>
        <w:t>Penelitian ini bertujuan merancang, mengimplementasikan, dan mengevaluasi artefak Contextual Discovery Engine berbasis RiC-CM pada sistem kearsipan Arteri-2. Pertanyaan penelitian yang diajukan adalah:</w:t>
        <w:br/>
        <w:t>• RQ1. Bagaimana memetakan entitas inti dan relasi standar ICA RiC-CM v1.0 ke dalam skema relasional sistem informasi kearsipan pemerintah?</w:t>
        <w:br/>
        <w:t>• RQ2. Bagaimana merumuskan model komputasi skor afinitas kontekstual (Contextual Affinity Score) yang memadukan dimensi agen, fungsi/aktivitas, dan temporalitas?</w:t>
        <w:br/>
        <w:t>• RQ3. Sejauh mana implementasi algoritma penelusuran berbasis RiC-CM meningkatkan ketepatan penemuan berkas terkait (Precision@K, Recall@K, dan MRR) dibandingkan metode penelusuran konvensional?</w:t>
      </w:r>
    </w:p>
    <w:p>
      <w:pPr>
        <w:keepNext/>
        <w:spacing w:before="200" w:after="80"/>
      </w:pPr>
      <w:r>
        <w:rPr>
          <w:rFonts w:ascii="Times New Roman" w:hAnsi="Times New Roman"/>
          <w:b/>
          <w:color w:val="222222"/>
          <w:sz w:val="22"/>
        </w:rPr>
        <w:t>Bagian 1.4 Batasan Penelitian</w:t>
      </w:r>
    </w:p>
    <w:p>
      <w:pPr>
        <w:spacing w:after="120" w:line="276" w:lineRule="auto"/>
        <w:jc w:val="both"/>
      </w:pPr>
      <w:r>
        <w:rPr>
          <w:rFonts w:ascii="Times New Roman" w:hAnsi="Times New Roman"/>
          <w:sz w:val="22"/>
        </w:rPr>
        <w:t>Penelitian ini memfokuskan validasi pada ranah rekayasa artefak perangkat lunak dan evaluasi empiris terukur (system-centered benchmark evaluation) dengan skenario rantai proses bisnis kearsipan instansi pemerintah Indonesia (kode klasifikasi urusan kearsipan, jadwal retensi arsip, dan struktur unit pengolah/pencipta). Evaluasi persepsi kognitif pengguna akhir (user study) dialokasikan sebagai agenda riset lanjutan.</w:t>
      </w:r>
    </w:p>
    <w:p>
      <w:pPr>
        <w:keepNext/>
        <w:spacing w:before="280" w:after="120"/>
      </w:pPr>
      <w:r>
        <w:rPr>
          <w:rFonts w:ascii="Times New Roman" w:hAnsi="Times New Roman"/>
          <w:b/>
          <w:color w:val="111111"/>
          <w:sz w:val="24"/>
        </w:rPr>
        <w:t>Bagian 2. Landasan Teori</w:t>
      </w:r>
    </w:p>
    <w:p>
      <w:pPr>
        <w:keepNext/>
        <w:spacing w:before="200" w:after="80"/>
      </w:pPr>
      <w:r>
        <w:rPr>
          <w:rFonts w:ascii="Times New Roman" w:hAnsi="Times New Roman"/>
          <w:b/>
          <w:color w:val="222222"/>
          <w:sz w:val="22"/>
        </w:rPr>
        <w:t>Bagian 2.1 Standar Records in Contexts (ICA RiC-CM v1.0 &amp; RiC-O)</w:t>
      </w:r>
    </w:p>
    <w:p>
      <w:pPr>
        <w:spacing w:after="120" w:line="276" w:lineRule="auto"/>
        <w:jc w:val="both"/>
      </w:pPr>
      <w:r>
        <w:rPr>
          <w:rFonts w:ascii="Times New Roman" w:hAnsi="Times New Roman"/>
          <w:sz w:val="22"/>
        </w:rPr>
        <w:t>RiC-CM mendefinisikan empat entitas inti kearsipan:</w:t>
        <w:br/>
        <w:t>1. ric:RecordResource: Rekaman arsip individual (Record), himpunan berkas (RecordSet), atau bagian dari rekaman (RecordPart).</w:t>
        <w:br/>
        <w:t>2. ric:Agent: Entitas yang bertanggung jawab atas penciptaan, pengolahan, atau pemeliharaan arsip, mencakup badan korporasi (CorporateBody), individu (Person), atau kelompok (Group).</w:t>
        <w:br/>
        <w:t>3. ric:Activity: Tindakan, proses bisnis, atau fungsi yang dilakukan oleh agen yang memicu terciptanya arsip.</w:t>
        <w:br/>
        <w:t>4. ric:Place: Lokasi geografis atau fisik penyimpanan arsip.</w:t>
        <w:br/>
        <w:t>Hubungan antar-entitas tidak lagi bersifat hierarkis satu arah, melainkan berbentuk jejaring (multi-directional graph). Sebagai contoh, sebuah RecordResource terhubung ke Agent melalui relasi ric:hasCreator dan ric:hasManagingAgent, terhubung ke Activity melalui relasi ric:hasActivity, serta terhubung ke rekaman lain melalui relasi asosiatif ric:isContextuallyRelatedTo.</w:t>
      </w:r>
    </w:p>
    <w:p>
      <w:pPr>
        <w:keepNext/>
        <w:spacing w:before="200" w:after="80"/>
      </w:pPr>
      <w:r>
        <w:rPr>
          <w:rFonts w:ascii="Times New Roman" w:hAnsi="Times New Roman"/>
          <w:b/>
          <w:color w:val="222222"/>
          <w:sz w:val="22"/>
        </w:rPr>
        <w:t>Bagian 2.2 Teori Rekonstruksi Provenans dan Penelusuran Berkas Terkait</w:t>
      </w:r>
    </w:p>
    <w:p>
      <w:pPr>
        <w:spacing w:after="120" w:line="276" w:lineRule="auto"/>
        <w:jc w:val="both"/>
      </w:pPr>
      <w:r>
        <w:rPr>
          <w:rFonts w:ascii="Times New Roman" w:hAnsi="Times New Roman"/>
          <w:sz w:val="22"/>
        </w:rPr>
        <w:t>Dalam konteks penelusuran berkas (dossier discovery), pengguna kerap mencari rekaman arsip bukan berdasarkan kecocokan kata kunci harfiah, melainkan berdasarkan asosiasi fungsional (Duranti, 1997; MacNeil, 2000). Misalnya, audit terhadap suatu pengadaan barang menuntut penemuan dokumen Kerangka Acuan Kerja, Berita Acara Evaluasi, Kontrak, hingga Kuitansi Pembayaran—yang masing-masing memiliki deskripsi teks berbeda namun saling terikat dalam satu simpul Activity dan Agent yang sama. Penelusuran berbasis graf memungkinkan penemuan berkas-berkas tersebut secara utuh.</w:t>
      </w:r>
    </w:p>
    <w:p>
      <w:pPr>
        <w:keepNext/>
        <w:spacing w:before="280" w:after="120"/>
      </w:pPr>
      <w:r>
        <w:rPr>
          <w:rFonts w:ascii="Times New Roman" w:hAnsi="Times New Roman"/>
          <w:b/>
          <w:color w:val="111111"/>
          <w:sz w:val="24"/>
        </w:rPr>
        <w:t>Bagian 3. Metodologi Penelitian</w:t>
      </w:r>
    </w:p>
    <w:p>
      <w:pPr>
        <w:spacing w:after="120" w:line="276" w:lineRule="auto"/>
        <w:jc w:val="both"/>
      </w:pPr>
      <w:r>
        <w:rPr>
          <w:rFonts w:ascii="Times New Roman" w:hAnsi="Times New Roman"/>
          <w:sz w:val="22"/>
        </w:rPr>
        <w:t>Penelitian ini menggunakan kerangka kerja Design Science Research (DSR) mengacu pada Peffers et al. (2007) yang terdiri atas empat tahapan terstruktur:</w:t>
        <w:br/>
        <w:t>1. Tahap 1 — Problem Identification: Analisis isolasi rekaman pada basis data relasional kearsipan.</w:t>
        <w:br/>
        <w:t>2. Tahap 2 — Solution Objectives: Definisi kebutuhan integrasi RiC-CM tanpa merombak total struktur RDBMS.</w:t>
        <w:br/>
        <w:t>3. Tahap 3 — Artifact Design &amp; Development: Perancangan RicContextualDiscoveryService pada Arteri-2, formulasi matematis CAS, dan serialisasi JSON-LD RiC-O.</w:t>
        <w:br/>
        <w:t>4. Tahap 4 — Demonstration &amp; Technical Evaluation: Benchmark evaluasi temu kembali berkas terkait terhadap baseline konvensional.</w:t>
      </w:r>
    </w:p>
    <w:p>
      <w:pPr>
        <w:keepNext/>
        <w:spacing w:before="280" w:after="120"/>
      </w:pPr>
      <w:r>
        <w:rPr>
          <w:rFonts w:ascii="Times New Roman" w:hAnsi="Times New Roman"/>
          <w:b/>
          <w:color w:val="111111"/>
          <w:sz w:val="24"/>
        </w:rPr>
        <w:t>Bagian 4. Perancangan dan Implementasi Artefak</w:t>
      </w:r>
    </w:p>
    <w:p>
      <w:pPr>
        <w:keepNext/>
        <w:spacing w:before="200" w:after="80"/>
      </w:pPr>
      <w:r>
        <w:rPr>
          <w:rFonts w:ascii="Times New Roman" w:hAnsi="Times New Roman"/>
          <w:b/>
          <w:color w:val="222222"/>
          <w:sz w:val="22"/>
        </w:rPr>
        <w:t>Bagian 4.1 Pemetaan Entitas dan Relasi Skema Basis Data</w:t>
      </w:r>
    </w:p>
    <w:tbl>
      <w:tblPr>
        <w:tblW w:type="auto" w:w="0"/>
        <w:jc w:val="center"/>
        <w:tblLook w:firstColumn="1" w:firstRow="1" w:lastColumn="0" w:lastRow="0" w:noHBand="0" w:noVBand="1" w:val="04A0"/>
      </w:tblPr>
      <w:tblGrid>
        <w:gridCol w:w="3120"/>
        <w:gridCol w:w="3120"/>
        <w:gridCol w:w="3120"/>
      </w:tblGrid>
      <w:tr>
        <w:tc>
          <w:tcPr>
            <w:tcW w:type="dxa" w:w="3120"/>
            <w:shd w:fill="EAECEF"/>
          </w:tcPr>
          <w:p>
            <w:pPr>
              <w:jc w:val="center"/>
            </w:pPr>
            <w:r>
              <w:rPr>
                <w:b/>
              </w:rPr>
              <w:t>Entitas RiC-CM</w:t>
            </w:r>
          </w:p>
        </w:tc>
        <w:tc>
          <w:tcPr>
            <w:tcW w:type="dxa" w:w="3120"/>
            <w:shd w:fill="EAECEF"/>
          </w:tcPr>
          <w:p>
            <w:pPr>
              <w:jc w:val="center"/>
            </w:pPr>
            <w:r>
              <w:rPr>
                <w:b/>
              </w:rPr>
              <w:t>Tabel &amp; Kolom Basis Data Arteri-2</w:t>
            </w:r>
          </w:p>
        </w:tc>
        <w:tc>
          <w:tcPr>
            <w:tcW w:type="dxa" w:w="3120"/>
            <w:shd w:fill="EAECEF"/>
          </w:tcPr>
          <w:p>
            <w:pPr>
              <w:jc w:val="center"/>
            </w:pPr>
            <w:r>
              <w:rPr>
                <w:b/>
              </w:rPr>
              <w:t>Peran Semantik Kearsipan</w:t>
            </w:r>
          </w:p>
        </w:tc>
      </w:tr>
      <w:tr>
        <w:tc>
          <w:tcPr>
            <w:tcW w:type="dxa" w:w="3120"/>
          </w:tcPr>
          <w:p>
            <w:r>
              <w:t>ric:Record</w:t>
            </w:r>
          </w:p>
        </w:tc>
        <w:tc>
          <w:tcPr>
            <w:tcW w:type="dxa" w:w="3120"/>
          </w:tcPr>
          <w:p>
            <w:r>
              <w:t>data_arsip (id, noarsip, uraian, tanggal)</w:t>
            </w:r>
          </w:p>
        </w:tc>
        <w:tc>
          <w:tcPr>
            <w:tcW w:type="dxa" w:w="3120"/>
          </w:tcPr>
          <w:p>
            <w:r>
              <w:t>Entitas berkas/naskah arsip fisik maupun digital.</w:t>
            </w:r>
          </w:p>
        </w:tc>
      </w:tr>
      <w:tr>
        <w:tc>
          <w:tcPr>
            <w:tcW w:type="dxa" w:w="3120"/>
          </w:tcPr>
          <w:p>
            <w:r>
              <w:t>ric:CorporateBody</w:t>
            </w:r>
          </w:p>
        </w:tc>
        <w:tc>
          <w:tcPr>
            <w:tcW w:type="dxa" w:w="3120"/>
          </w:tcPr>
          <w:p>
            <w:r>
              <w:t>master_pencipta (nama_pencipta), master_pengolah</w:t>
            </w:r>
          </w:p>
        </w:tc>
        <w:tc>
          <w:tcPr>
            <w:tcW w:type="dxa" w:w="3120"/>
          </w:tcPr>
          <w:p>
            <w:r>
              <w:t>Lembaga pencipta dan unit pengolah arsip.</w:t>
            </w:r>
          </w:p>
        </w:tc>
      </w:tr>
      <w:tr>
        <w:tc>
          <w:tcPr>
            <w:tcW w:type="dxa" w:w="3120"/>
          </w:tcPr>
          <w:p>
            <w:r>
              <w:t>ric:Activity</w:t>
            </w:r>
          </w:p>
        </w:tc>
        <w:tc>
          <w:tcPr>
            <w:tcW w:type="dxa" w:w="3120"/>
          </w:tcPr>
          <w:p>
            <w:r>
              <w:t>master_kode (kode, nama)</w:t>
            </w:r>
          </w:p>
        </w:tc>
        <w:tc>
          <w:tcPr>
            <w:tcW w:type="dxa" w:w="3120"/>
          </w:tcPr>
          <w:p>
            <w:r>
              <w:t>Fungsi/urusan kerja yang tercermin dalam kode klasifikasi.</w:t>
            </w:r>
          </w:p>
        </w:tc>
      </w:tr>
      <w:tr>
        <w:tc>
          <w:tcPr>
            <w:tcW w:type="dxa" w:w="3120"/>
          </w:tcPr>
          <w:p>
            <w:r>
              <w:t>ric:Place</w:t>
            </w:r>
          </w:p>
        </w:tc>
        <w:tc>
          <w:tcPr>
            <w:tcW w:type="dxa" w:w="3120"/>
          </w:tcPr>
          <w:p>
            <w:r>
              <w:t>master_lokasi (nama_lokasi)</w:t>
            </w:r>
          </w:p>
        </w:tc>
        <w:tc>
          <w:tcPr>
            <w:tcW w:type="dxa" w:w="3120"/>
          </w:tcPr>
          <w:p>
            <w:r>
              <w:t>Tempat penyimpanan fisik/depo arsip.</w:t>
            </w:r>
          </w:p>
        </w:tc>
      </w:tr>
    </w:tbl>
    <w:p>
      <w:pPr>
        <w:spacing w:after="120"/>
      </w:pPr>
    </w:p>
    <w:p>
      <w:pPr>
        <w:keepNext/>
        <w:spacing w:before="200" w:after="80"/>
      </w:pPr>
      <w:r>
        <w:rPr>
          <w:rFonts w:ascii="Times New Roman" w:hAnsi="Times New Roman"/>
          <w:b/>
          <w:color w:val="222222"/>
          <w:sz w:val="22"/>
        </w:rPr>
        <w:t>Bagian 4.2 Formulasi Contextual Affinity Score (CAS)</w:t>
      </w:r>
    </w:p>
    <w:p>
      <w:pPr>
        <w:spacing w:after="120" w:line="276" w:lineRule="auto"/>
        <w:jc w:val="both"/>
      </w:pPr>
      <w:r>
        <w:rPr>
          <w:rFonts w:ascii="Times New Roman" w:hAnsi="Times New Roman"/>
          <w:sz w:val="22"/>
        </w:rPr>
        <w:t>Untuk menentukan kekuatan keterhubungan kontekstual antara arsip jangkar R_seed dan arsip kandidat R_cand, dirumuskan nilai afinitas berbobot:</w:t>
        <w:br/>
        <w:br/>
        <w:t>CAS(R_seed, R_cand) = w_agent · Aff_agent + w_act · Aff_act + w_temp · Aff_temp</w:t>
        <w:br/>
        <w:br/>
        <w:t>Dengan batasan bobot Σ w = 1,0 di mana ditetapkan w_agent = 0,35, w_act = 0,45, dan w_temp = 0,20.</w:t>
        <w:br/>
        <w:br/>
        <w:t>1. Afinitas Keagenan (Aff_agent):</w:t>
        <w:br/>
        <w:t xml:space="preserve">   Aff_agent = 0,6 · I(pencipta_seed = pencipta_cand) + 0,4 · I(pengolah_seed = pengolah_cand)</w:t>
        <w:br/>
        <w:t xml:space="preserve">   di mana I(·) adalah fungsi indikator biner bernilai 1 jika cocok dan 0 jika tidak.</w:t>
        <w:br/>
        <w:br/>
        <w:t>2. Afinitas Fungsional (Aff_act):</w:t>
        <w:br/>
        <w:t xml:space="preserve">   Aff_act = 1,0 jika kode klasifikasi identik; 0,5 jika satu rumpun urusan utama; dan 0,0 jika lainnya.</w:t>
        <w:br/>
        <w:br/>
        <w:t>3. Afinitas Temporal (Aff_temp):</w:t>
        <w:br/>
        <w:t xml:space="preserve">   Aff_temp = exp(-|Δtanggal| / τ) dengan konstanta waktu paruh τ = 365 hari.</w:t>
      </w:r>
    </w:p>
    <w:p>
      <w:pPr>
        <w:keepNext/>
        <w:spacing w:before="200" w:after="80"/>
      </w:pPr>
      <w:r>
        <w:rPr>
          <w:rFonts w:ascii="Times New Roman" w:hAnsi="Times New Roman"/>
          <w:b/>
          <w:color w:val="222222"/>
          <w:sz w:val="22"/>
        </w:rPr>
        <w:t>Bagian 4.3 Serialisasi Semantik JSON-LD RiC-O</w:t>
      </w:r>
    </w:p>
    <w:p>
      <w:pPr>
        <w:spacing w:after="120" w:line="276" w:lineRule="auto"/>
        <w:jc w:val="both"/>
      </w:pPr>
      <w:r>
        <w:rPr>
          <w:rFonts w:ascii="Times New Roman" w:hAnsi="Times New Roman"/>
          <w:sz w:val="22"/>
        </w:rPr>
        <w:t>Sistem menyediakan endpoint REST API (GET /api/v1/arsip/{id}/context) yang mengekspor representasi graf semantik berbasis standar ICA RiC-O RDF dalam format JSON-LD.</w:t>
      </w:r>
    </w:p>
    <w:p>
      <w:pPr>
        <w:keepNext/>
        <w:spacing w:before="280" w:after="120"/>
      </w:pPr>
      <w:r>
        <w:rPr>
          <w:rFonts w:ascii="Times New Roman" w:hAnsi="Times New Roman"/>
          <w:b/>
          <w:color w:val="111111"/>
          <w:sz w:val="24"/>
        </w:rPr>
        <w:t>Bagian 5. Hasil dan Pembahasan</w:t>
      </w:r>
    </w:p>
    <w:p>
      <w:pPr>
        <w:keepNext/>
        <w:spacing w:before="200" w:after="80"/>
      </w:pPr>
      <w:r>
        <w:rPr>
          <w:rFonts w:ascii="Times New Roman" w:hAnsi="Times New Roman"/>
          <w:b/>
          <w:color w:val="222222"/>
          <w:sz w:val="22"/>
        </w:rPr>
        <w:t>Bagian 5.1 Hasil Evaluasi Benchmark</w:t>
      </w:r>
    </w:p>
    <w:p>
      <w:pPr>
        <w:spacing w:after="120" w:line="276" w:lineRule="auto"/>
        <w:jc w:val="both"/>
      </w:pPr>
      <w:r>
        <w:rPr>
          <w:rFonts w:ascii="Times New Roman" w:hAnsi="Times New Roman"/>
          <w:sz w:val="22"/>
        </w:rPr>
        <w:t>Pengujian benchmark dilakukan secara terkontrol menggunakan repositori simulasi proses bisnis kearsipan pemerintah (pengadaan, rekrutmen, audit, dan perencanaan anggaran) beserta data pengganggu (noise records).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F"/>
          </w:tcPr>
          <w:p>
            <w:pPr>
              <w:jc w:val="center"/>
            </w:pPr>
            <w:r>
              <w:rPr>
                <w:b/>
              </w:rPr>
              <w:t>Metode Penelusuran</w:t>
            </w:r>
          </w:p>
        </w:tc>
        <w:tc>
          <w:tcPr>
            <w:tcW w:type="dxa" w:w="1872"/>
            <w:shd w:fill="EAECEF"/>
          </w:tcPr>
          <w:p>
            <w:pPr>
              <w:jc w:val="center"/>
            </w:pPr>
            <w:r>
              <w:rPr>
                <w:b/>
              </w:rPr>
              <w:t>Precision@5 (P@5)</w:t>
            </w:r>
          </w:p>
        </w:tc>
        <w:tc>
          <w:tcPr>
            <w:tcW w:type="dxa" w:w="1872"/>
            <w:shd w:fill="EAECEF"/>
          </w:tcPr>
          <w:p>
            <w:pPr>
              <w:jc w:val="center"/>
            </w:pPr>
            <w:r>
              <w:rPr>
                <w:b/>
              </w:rPr>
              <w:t>Precision@10 (P@10)</w:t>
            </w:r>
          </w:p>
        </w:tc>
        <w:tc>
          <w:tcPr>
            <w:tcW w:type="dxa" w:w="1872"/>
            <w:shd w:fill="EAECEF"/>
          </w:tcPr>
          <w:p>
            <w:pPr>
              <w:jc w:val="center"/>
            </w:pPr>
            <w:r>
              <w:rPr>
                <w:b/>
              </w:rPr>
              <w:t>Recall@10</w:t>
            </w:r>
          </w:p>
        </w:tc>
        <w:tc>
          <w:tcPr>
            <w:tcW w:type="dxa" w:w="1872"/>
            <w:shd w:fill="EAECEF"/>
          </w:tcPr>
          <w:p>
            <w:pPr>
              <w:jc w:val="center"/>
            </w:pPr>
            <w:r>
              <w:rPr>
                <w:b/>
              </w:rPr>
              <w:t>MRR</w:t>
            </w:r>
          </w:p>
        </w:tc>
      </w:tr>
      <w:tr>
        <w:tc>
          <w:tcPr>
            <w:tcW w:type="dxa" w:w="1872"/>
          </w:tcPr>
          <w:p>
            <w:r>
              <w:t>Baseline (Kronologis)</w:t>
            </w:r>
          </w:p>
        </w:tc>
        <w:tc>
          <w:tcPr>
            <w:tcW w:type="dxa" w:w="1872"/>
          </w:tcPr>
          <w:p>
            <w:pPr>
              <w:jc w:val="center"/>
            </w:pPr>
            <w:r>
              <w:t>0.2522</w:t>
            </w:r>
          </w:p>
        </w:tc>
        <w:tc>
          <w:tcPr>
            <w:tcW w:type="dxa" w:w="1872"/>
          </w:tcPr>
          <w:p>
            <w:pPr>
              <w:jc w:val="center"/>
            </w:pPr>
            <w:r>
              <w:t>0.2609</w:t>
            </w:r>
          </w:p>
        </w:tc>
        <w:tc>
          <w:tcPr>
            <w:tcW w:type="dxa" w:w="1872"/>
          </w:tcPr>
          <w:p>
            <w:pPr>
              <w:jc w:val="center"/>
            </w:pPr>
            <w:r>
              <w:t>0.4720</w:t>
            </w:r>
          </w:p>
        </w:tc>
        <w:tc>
          <w:tcPr>
            <w:tcW w:type="dxa" w:w="1872"/>
          </w:tcPr>
          <w:p>
            <w:pPr>
              <w:jc w:val="center"/>
            </w:pPr>
            <w:r>
              <w:t>0.3446</w:t>
            </w:r>
          </w:p>
        </w:tc>
      </w:tr>
      <w:tr>
        <w:tc>
          <w:tcPr>
            <w:tcW w:type="dxa" w:w="1872"/>
          </w:tcPr>
          <w:p>
            <w:r>
              <w:rPr>
                <w:b/>
              </w:rPr>
              <w:t>RiC Contextual Discovery</w:t>
            </w:r>
          </w:p>
        </w:tc>
        <w:tc>
          <w:tcPr>
            <w:tcW w:type="dxa" w:w="1872"/>
          </w:tcPr>
          <w:p>
            <w:pPr>
              <w:jc w:val="center"/>
            </w:pPr>
            <w:r>
              <w:rPr>
                <w:b/>
              </w:rPr>
              <w:t>0.8870</w:t>
            </w:r>
          </w:p>
        </w:tc>
        <w:tc>
          <w:tcPr>
            <w:tcW w:type="dxa" w:w="1872"/>
          </w:tcPr>
          <w:p>
            <w:pPr>
              <w:jc w:val="center"/>
            </w:pPr>
            <w:r>
              <w:rPr>
                <w:b/>
              </w:rPr>
              <w:t>0.5130</w:t>
            </w:r>
          </w:p>
        </w:tc>
        <w:tc>
          <w:tcPr>
            <w:tcW w:type="dxa" w:w="1872"/>
          </w:tcPr>
          <w:p>
            <w:pPr>
              <w:jc w:val="center"/>
            </w:pPr>
            <w:r>
              <w:rPr>
                <w:b/>
              </w:rPr>
              <w:t>1.0000</w:t>
            </w:r>
          </w:p>
        </w:tc>
        <w:tc>
          <w:tcPr>
            <w:tcW w:type="dxa" w:w="1872"/>
          </w:tcPr>
          <w:p>
            <w:pPr>
              <w:jc w:val="center"/>
            </w:pPr>
            <w:r>
              <w:rPr>
                <w:b/>
              </w:rPr>
              <w:t>1.0000</w:t>
            </w:r>
          </w:p>
        </w:tc>
      </w:tr>
      <w:tr>
        <w:tc>
          <w:tcPr>
            <w:tcW w:type="dxa" w:w="1872"/>
          </w:tcPr>
          <w:p>
            <w:r>
              <w:rPr>
                <w:b/>
              </w:rPr>
              <w:t>Peningkatan (Delta)</w:t>
            </w:r>
          </w:p>
        </w:tc>
        <w:tc>
          <w:tcPr>
            <w:tcW w:type="dxa" w:w="1872"/>
          </w:tcPr>
          <w:p>
            <w:pPr>
              <w:jc w:val="center"/>
            </w:pPr>
            <w:r>
              <w:rPr>
                <w:b/>
              </w:rPr>
              <w:t>+0.6348</w:t>
            </w:r>
          </w:p>
        </w:tc>
        <w:tc>
          <w:tcPr>
            <w:tcW w:type="dxa" w:w="1872"/>
          </w:tcPr>
          <w:p>
            <w:pPr>
              <w:jc w:val="center"/>
            </w:pPr>
            <w:r>
              <w:rPr>
                <w:b/>
              </w:rPr>
              <w:t>+0.2522</w:t>
            </w:r>
          </w:p>
        </w:tc>
        <w:tc>
          <w:tcPr>
            <w:tcW w:type="dxa" w:w="1872"/>
          </w:tcPr>
          <w:p>
            <w:pPr>
              <w:jc w:val="center"/>
            </w:pPr>
            <w:r>
              <w:rPr>
                <w:b/>
              </w:rPr>
              <w:t>+0.5280</w:t>
            </w:r>
          </w:p>
        </w:tc>
        <w:tc>
          <w:tcPr>
            <w:tcW w:type="dxa" w:w="1872"/>
          </w:tcPr>
          <w:p>
            <w:pPr>
              <w:jc w:val="center"/>
            </w:pPr>
            <w:r>
              <w:rPr>
                <w:b/>
              </w:rPr>
              <w:t>+0.6554</w:t>
            </w:r>
          </w:p>
        </w:tc>
      </w:tr>
    </w:tbl>
    <w:p>
      <w:pPr>
        <w:spacing w:after="120"/>
      </w:pPr>
    </w:p>
    <w:p>
      <w:pPr>
        <w:keepNext/>
        <w:spacing w:before="200" w:after="80"/>
      </w:pPr>
      <w:r>
        <w:rPr>
          <w:rFonts w:ascii="Times New Roman" w:hAnsi="Times New Roman"/>
          <w:b/>
          <w:color w:val="222222"/>
          <w:sz w:val="22"/>
        </w:rPr>
        <w:t>Bagian 5.2 Pembahasan Temuan</w:t>
      </w:r>
    </w:p>
    <w:p>
      <w:pPr>
        <w:spacing w:after="120" w:line="276" w:lineRule="auto"/>
        <w:jc w:val="both"/>
      </w:pPr>
      <w:r>
        <w:rPr>
          <w:rFonts w:ascii="Times New Roman" w:hAnsi="Times New Roman"/>
          <w:sz w:val="22"/>
        </w:rPr>
        <w:t>1. Peningkatan Presisi pada Rekomendasi Teratas (P@5 = 0,8870): Modul RiC berhasil mengelompokkan berkas dalam satu rantai aktivitas fungsional dengan presisi 88,70%, melonjak +63,48% dibandingkan baseline kronologis.</w:t>
        <w:br/>
        <w:t>2. Cakupan Klaster Penuh (Recall@10 = 1,0000): Seluruh dokumen terkait dalam satu rangkaian transaksi kerja berhasil ditemukan dalam 10 rekomendasi pertama (100% coverage), menjamin kelengkapan bukti audit kearsipan.</w:t>
        <w:br/>
        <w:t>3. Ketepatan Peringkat Pertama (MRR = 1,0000): Sistem secara deterministik selalu menempatkan berkas yang paling relevan pada urutan pertama.</w:t>
      </w:r>
    </w:p>
    <w:p>
      <w:pPr>
        <w:keepNext/>
        <w:spacing w:before="280" w:after="120"/>
      </w:pPr>
      <w:r>
        <w:rPr>
          <w:rFonts w:ascii="Times New Roman" w:hAnsi="Times New Roman"/>
          <w:b/>
          <w:color w:val="111111"/>
          <w:sz w:val="24"/>
        </w:rPr>
        <w:t>Bagian 6. Kesimpulan dan Saran</w:t>
      </w:r>
    </w:p>
    <w:p>
      <w:pPr>
        <w:spacing w:after="120" w:line="276" w:lineRule="auto"/>
        <w:jc w:val="both"/>
      </w:pPr>
      <w:r>
        <w:rPr>
          <w:rFonts w:ascii="Times New Roman" w:hAnsi="Times New Roman"/>
          <w:sz w:val="22"/>
        </w:rPr>
        <w:t>Penelitian ini membuktikan bahwa pemodelan graf Records in Contexts (ICA RiC-CM v1.0) dapat dioperasionalkan secara efektif pada sistem informasi kearsipan berbasis RDBMS seperti Arteri-2 melalui Contextual Affinity Score (CAS). Peningkatan performa penemuan berkas (ΔP@5 = +0,6348 dan Recall@10 = 1,0000) menunjukkan bahwa pelestarian rantai provenans dapat diwujudkan tanpa harus mengganti seluruh infrastruktur basis data relasional instansi.</w:t>
      </w:r>
    </w:p>
    <w:p>
      <w:pPr>
        <w:keepNext/>
        <w:spacing w:before="280" w:after="120"/>
      </w:pPr>
      <w:r>
        <w:rPr>
          <w:rFonts w:ascii="Times New Roman" w:hAnsi="Times New Roman"/>
          <w:b/>
          <w:color w:val="111111"/>
          <w:sz w:val="24"/>
        </w:rPr>
        <w:t>Daftar Pustaka</w:t>
      </w:r>
    </w:p>
    <w:p>
      <w:pPr>
        <w:spacing w:after="80" w:line="276" w:lineRule="auto"/>
        <w:ind w:left="720" w:hanging="720"/>
        <w:jc w:val="both"/>
      </w:pPr>
      <w:r>
        <w:rPr>
          <w:rFonts w:ascii="Times New Roman" w:hAnsi="Times New Roman"/>
          <w:sz w:val="20"/>
        </w:rPr>
        <w:t>Duranti, L. (1997). The archival bond. Archives and Museum Informatics, 11(3), 213–218. https://doi.org/10.1023/a:1009025127463</w:t>
      </w:r>
    </w:p>
    <w:p>
      <w:pPr>
        <w:spacing w:after="80" w:line="276" w:lineRule="auto"/>
        <w:ind w:left="720" w:hanging="720"/>
        <w:jc w:val="both"/>
      </w:pPr>
      <w:r>
        <w:rPr>
          <w:rFonts w:ascii="Times New Roman" w:hAnsi="Times New Roman"/>
          <w:sz w:val="20"/>
        </w:rPr>
        <w:t>ICA Expert Group on Archival Description. (2023). Records in Contexts: Conceptual Model (RiC-CM v1.0). International Council on Archives. https://www.ica.org/standards/RiC/RiC-CM-1.0.pdf</w:t>
      </w:r>
    </w:p>
    <w:p>
      <w:pPr>
        <w:spacing w:after="80" w:line="276" w:lineRule="auto"/>
        <w:ind w:left="720" w:hanging="720"/>
        <w:jc w:val="both"/>
      </w:pPr>
      <w:r>
        <w:rPr>
          <w:rFonts w:ascii="Times New Roman" w:hAnsi="Times New Roman"/>
          <w:sz w:val="20"/>
        </w:rPr>
        <w:t>Llanes-Padrón, D., &amp; Pastor-Sánchez, J. A. (2017). Records in contexts: the road of archives to semantic interoperability. Program: electronic library and information systems, 51(4), 387–405. https://doi.org/10.1108/prog-03-2017-0021</w:t>
      </w:r>
    </w:p>
    <w:p>
      <w:pPr>
        <w:spacing w:after="80" w:line="276" w:lineRule="auto"/>
        <w:ind w:left="720" w:hanging="720"/>
        <w:jc w:val="both"/>
      </w:pPr>
      <w:r>
        <w:rPr>
          <w:rFonts w:ascii="Times New Roman" w:hAnsi="Times New Roman"/>
          <w:sz w:val="20"/>
        </w:rPr>
        <w:t>MacNeil, H. (2000). Trusting records: Legal, historical and diplomatic perspectives. Springer Dordrecht. https://doi.org/10.1007/978-94-015-9375-5</w:t>
      </w:r>
    </w:p>
    <w:p>
      <w:pPr>
        <w:spacing w:after="80" w:line="276" w:lineRule="auto"/>
        <w:ind w:left="720" w:hanging="720"/>
        <w:jc w:val="both"/>
      </w:pPr>
      <w:r>
        <w:rPr>
          <w:rFonts w:ascii="Times New Roman" w:hAnsi="Times New Roman"/>
          <w:sz w:val="20"/>
        </w:rPr>
        <w:t>Peffers, K., Tuunanen, T., Rothenberger, M. A., &amp; Chatterjee, S. (2007). A design science research methodology for information systems research. Journal of Management Information Systems, 24(3), 45–77. https://doi.org/10.2753/mis0742-1222240302</w:t>
      </w:r>
    </w:p>
    <w:p>
      <w:pPr>
        <w:spacing w:after="80" w:line="276" w:lineRule="auto"/>
        <w:ind w:left="720" w:hanging="720"/>
        <w:jc w:val="both"/>
      </w:pPr>
      <w:r>
        <w:rPr>
          <w:rFonts w:ascii="Times New Roman" w:hAnsi="Times New Roman"/>
          <w:sz w:val="20"/>
        </w:rPr>
        <w:t>Pitti, D., Stockting, B., &amp; Clavaud, F. (2018). An introduction to “Records in Contexts”: an archival description draft standard. Comma, 2016(1-2), 173–188. https://doi.org/10.3828/comma.2016.18</w:t>
      </w:r>
    </w:p>
    <w:p>
      <w:pPr>
        <w:keepNext/>
        <w:spacing w:before="280" w:after="120"/>
      </w:pPr>
      <w:r>
        <w:rPr>
          <w:rFonts w:ascii="Times New Roman" w:hAnsi="Times New Roman"/>
          <w:b/>
          <w:color w:val="111111"/>
          <w:sz w:val="24"/>
        </w:rPr>
        <w:t>Lampiran A. Artefak Kode Implementasi Utama (Reproduksibilitas)</w:t>
      </w:r>
    </w:p>
    <w:p>
      <w:pPr>
        <w:keepNext/>
        <w:spacing w:before="200" w:after="80"/>
      </w:pPr>
      <w:r>
        <w:rPr>
          <w:rFonts w:ascii="Times New Roman" w:hAnsi="Times New Roman"/>
          <w:b/>
          <w:color w:val="222222"/>
          <w:sz w:val="22"/>
        </w:rPr>
        <w:t>A.1 Layanan Komputasi Afinitas Kontekstual — RicContextualDiscoveryService.php</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E1E4E8"/>
              <w:left w:val="single" w:sz="12" w:space="0" w:color="0366D6"/>
              <w:bottom w:val="single" w:sz="4" w:space="0" w:color="E1E4E8"/>
              <w:right w:val="single" w:sz="4" w:space="0" w:color="E1E4E8"/>
            </w:tcBorders>
          </w:tcPr>
          <w:p>
            <w:pPr>
              <w:spacing w:before="80" w:after="80" w:line="240" w:lineRule="auto"/>
            </w:pPr>
            <w:r>
              <w:rPr>
                <w:rFonts w:ascii="Courier New" w:hAnsi="Courier New"/>
                <w:color w:val="24292E"/>
                <w:sz w:val="17"/>
              </w:rPr>
              <w:t>// app/Services/RicContextualDiscoveryService.php</w:t>
              <w:br/>
              <w:t>namespace App\Services;</w:t>
              <w:br/>
              <w:br/>
              <w:t>class RicContextualDiscoveryService</w:t>
              <w:br/>
              <w:t>{</w:t>
              <w:br/>
              <w:t xml:space="preserve">    protected float $weightAgent = 0.35;</w:t>
              <w:br/>
              <w:t xml:space="preserve">    protected float $weightActivity = 0.45;</w:t>
              <w:br/>
              <w:t xml:space="preserve">    protected float $weightTemporal = 0.20;</w:t>
              <w:br/>
              <w:t xml:space="preserve">    protected float $temporalDecayDays = 365.0;</w:t>
              <w:br/>
              <w:br/>
              <w:t xml:space="preserve">    public function computeAffinity(array $seed, array $candidate): array</w:t>
              <w:br/>
              <w:t xml:space="preserve">    {</w:t>
              <w:br/>
              <w:t xml:space="preserve">        $seedDate = !empty($seed['tanggal']) ? strtotime((string)$seed['tanggal']) : 0;</w:t>
              <w:br/>
              <w:t xml:space="preserve">        $candDate = !empty($candidate['tanggal']) ? strtotime((string)$candidate['tanggal']) : 0;</w:t>
              <w:br/>
              <w:t xml:space="preserve">        $diffDays = ($seedDate &gt; 0 &amp;&amp; $candDate &gt; 0) ? abs($seedDate - $candDate) / 86400 : 0;</w:t>
              <w:br/>
              <w:br/>
              <w:t xml:space="preserve">        // 1. Agent Affinity (Pencipta: 0.6, Pengolah: 0.4)</w:t>
              <w:br/>
              <w:t xml:space="preserve">        $agentScore = 0.0;</w:t>
              <w:br/>
              <w:t xml:space="preserve">        if (!empty($seed['pencipta']) &amp;&amp; $candidate['pencipta'] === $seed['pencipta']) $agentScore += 0.6;</w:t>
              <w:br/>
              <w:t xml:space="preserve">        if (!empty($seed['unit_pengolah']) &amp;&amp; $candidate['unit_pengolah'] === $seed['unit_pengolah']) $agentScore += 0.4;</w:t>
              <w:br/>
              <w:br/>
              <w:t xml:space="preserve">        // 2. Activity Affinity (Kode Eksak: 1.0, Satu Rumpun: 0.5)</w:t>
              <w:br/>
              <w:t xml:space="preserve">        $activityScore = 0.0;</w:t>
              <w:br/>
              <w:t xml:space="preserve">        $seedKode = (string)($seed['kode'] ?? '');</w:t>
              <w:br/>
              <w:t xml:space="preserve">        $candKode = (string)($candidate['kode'] ?? '');</w:t>
              <w:br/>
              <w:t xml:space="preserve">        if ($seedKode !== '' &amp;&amp; $candKode !== '') {</w:t>
              <w:br/>
              <w:t xml:space="preserve">            if ($seedKode === $candKode) {</w:t>
              <w:br/>
              <w:t xml:space="preserve">                $activityScore = 1.0;</w:t>
              <w:br/>
              <w:t xml:space="preserve">            } else {</w:t>
              <w:br/>
              <w:t xml:space="preserve">                $sPref = explode('.', $seedKode)[0];</w:t>
              <w:br/>
              <w:t xml:space="preserve">                $cPref = explode('.', $candKode)[0];</w:t>
              <w:br/>
              <w:t xml:space="preserve">                if ($sPref !== '' &amp;&amp; $sPref === $cPref) $activityScore = 0.5;</w:t>
              <w:br/>
              <w:t xml:space="preserve">            }</w:t>
              <w:br/>
              <w:t xml:space="preserve">        }</w:t>
              <w:br/>
              <w:br/>
              <w:t xml:space="preserve">        // 3. Temporal Affinity (Exponential Decay)</w:t>
              <w:br/>
              <w:t xml:space="preserve">        $temporalScore = ($seedDate &gt; 0 &amp;&amp; $candDate &gt; 0) ? exp(-1.0 * ($diffDays / $this-&gt;temporalDecayDays)) : 0.5;</w:t>
              <w:br/>
              <w:br/>
              <w:t xml:space="preserve">        // Contextual Affinity Score (CAS)</w:t>
              <w:br/>
              <w:t xml:space="preserve">        $totalCas = ($this-&gt;weightAgent * $agentScore) + ($this-&gt;weightActivity * $activityScore) + ($this-&gt;weightTemporal * $temporalScore);</w:t>
              <w:br/>
              <w:br/>
              <w:t xml:space="preserve">        return [</w:t>
              <w:br/>
              <w:t xml:space="preserve">            'cas_score' =&gt; round($totalCas, 4),</w:t>
              <w:br/>
              <w:t xml:space="preserve">            'agent_affinity' =&gt; round($agentScore, 4),</w:t>
              <w:br/>
              <w:t xml:space="preserve">            'activity_affinity' =&gt; round($activityScore, 4),</w:t>
              <w:br/>
              <w:t xml:space="preserve">            'temporal_affinity' =&gt; round($temporalScore, 4),</w:t>
              <w:br/>
              <w:t xml:space="preserve">        ];</w:t>
              <w:br/>
              <w:t xml:space="preserve">    }</w:t>
              <w:br/>
              <w:t>}</w:t>
            </w:r>
          </w:p>
        </w:tc>
      </w:tr>
    </w:tbl>
    <w:p>
      <w:pPr>
        <w:spacing w:after="120"/>
      </w:pPr>
    </w:p>
    <w:p>
      <w:pPr>
        <w:keepNext/>
        <w:spacing w:before="280" w:after="120"/>
      </w:pPr>
      <w:r>
        <w:rPr>
          <w:rFonts w:ascii="Times New Roman" w:hAnsi="Times New Roman"/>
          <w:b/>
          <w:color w:val="111111"/>
          <w:sz w:val="24"/>
        </w:rPr>
        <w:t>Lampiran B. Contoh Tampilan Implementasi pada Antarmuka Aplikasi Arteri-2</w:t>
      </w:r>
    </w:p>
    <w:p>
      <w:pPr>
        <w:keepNext/>
        <w:spacing w:before="200" w:after="80"/>
      </w:pPr>
      <w:r>
        <w:rPr>
          <w:rFonts w:ascii="Times New Roman" w:hAnsi="Times New Roman"/>
          <w:b/>
          <w:color w:val="222222"/>
          <w:sz w:val="22"/>
        </w:rPr>
        <w:t>B.1 Tangkapan Layar Panel Jejaring Berkas Terkait RiC pada Halaman Detail Arsip</w:t>
      </w:r>
    </w:p>
    <w:p>
      <w:pPr>
        <w:spacing w:after="120" w:line="276" w:lineRule="auto"/>
        <w:jc w:val="both"/>
      </w:pPr>
      <w:r>
        <w:rPr>
          <w:rFonts w:ascii="Times New Roman" w:hAnsi="Times New Roman"/>
          <w:sz w:val="22"/>
        </w:rPr>
        <w:t>Gambar di bawah memperlihatkan implementasi visual antarmuka sistem Arteri-2 saat pengguna memeriksa arsip jangkar (TI/2025/001). Panel di bagian bawah menyajikan daftar rekomendasi berkas terhubung secara fungsional beserta progress bar persentase skor afinitas (CAS).</w:t>
      </w:r>
    </w:p>
    <w:p>
      <w:pPr>
        <w:spacing w:before="160" w:after="160"/>
        <w:jc w:val="center"/>
      </w:pPr>
      <w:r>
        <w:drawing>
          <wp:inline xmlns:a="http://schemas.openxmlformats.org/drawingml/2006/main" xmlns:pic="http://schemas.openxmlformats.org/drawingml/2006/picture">
            <wp:extent cx="5669280" cy="3692875"/>
            <wp:docPr id="1" name="Picture 1"/>
            <wp:cNvGraphicFramePr>
              <a:graphicFrameLocks noChangeAspect="1"/>
            </wp:cNvGraphicFramePr>
            <a:graphic>
              <a:graphicData uri="http://schemas.openxmlformats.org/drawingml/2006/picture">
                <pic:pic>
                  <pic:nvPicPr>
                    <pic:cNvPr id="0" name="screenshot_ric_detail_panel.png"/>
                    <pic:cNvPicPr/>
                  </pic:nvPicPr>
                  <pic:blipFill>
                    <a:blip r:embed="rId9"/>
                    <a:stretch>
                      <a:fillRect/>
                    </a:stretch>
                  </pic:blipFill>
                  <pic:spPr>
                    <a:xfrm>
                      <a:off x="0" y="0"/>
                      <a:ext cx="5669280" cy="3692875"/>
                    </a:xfrm>
                    <a:prstGeom prst="rect"/>
                  </pic:spPr>
                </pic:pic>
              </a:graphicData>
            </a:graphic>
          </wp:inline>
        </w:drawing>
      </w:r>
    </w:p>
    <w:p>
      <w:pPr>
        <w:spacing w:after="240"/>
        <w:jc w:val="center"/>
      </w:pPr>
      <w:r>
        <w:rPr>
          <w:rFonts w:ascii="Times New Roman" w:hAnsi="Times New Roman"/>
          <w:i/>
          <w:sz w:val="19"/>
        </w:rPr>
        <w:t>Gambar B.1 Tangkapan Layar Panel Jejaring Berkas Terkait RiC-CM pada Sistem Arteri-2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