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11111"/>
          <w:sz w:val="30"/>
        </w:rPr>
        <w:t>Pengembangan Sistem Temu Kembali Arsip Digital Berbasis Model Relevansi Bertingkat Saracevic: Implementasi pada Arteri-2</w:t>
      </w:r>
    </w:p>
    <w:p>
      <w:pPr>
        <w:spacing w:after="360"/>
        <w:jc w:val="center"/>
      </w:pPr>
      <w:r>
        <w:rPr>
          <w:rFonts w:ascii="Times New Roman" w:hAnsi="Times New Roman"/>
          <w:b/>
          <w:sz w:val="22"/>
        </w:rPr>
        <w:t>Syauqi Fuadi, S.Hum.*1, [Penulis Kedua]2</w:t>
        <w:br/>
      </w:r>
      <w:r>
        <w:rPr>
          <w:rFonts w:ascii="Times New Roman" w:hAnsi="Times New Roman"/>
          <w:i/>
          <w:sz w:val="19"/>
        </w:rPr>
        <w:t>1Program Studi Ilmu Perpustakaan / Peminatan Kearsipan, Fakultas Ilmu Pengetahuan Budaya, Universitas Indonesia</w:t>
        <w:br/>
        <w:t>2[Afiliasi Penulis Kedua]</w:t>
        <w:br/>
      </w:r>
      <w:r>
        <w:rPr>
          <w:rFonts w:ascii="Times New Roman" w:hAnsi="Times New Roman"/>
          <w:i/>
          <w:sz w:val="18"/>
        </w:rPr>
        <w:t>*Penulis Korespondensi: syauqi@fuadi.dev / xfuadi@gmail.com</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CCCCCC"/>
              <w:left w:val="none"/>
              <w:bottom w:val="single" w:sz="6" w:space="0" w:color="CCCCCC"/>
              <w:right w:val="none"/>
            </w:tcBorders>
          </w:tcPr>
          <w:p>
            <w:pPr>
              <w:spacing w:before="120" w:after="120" w:line="276" w:lineRule="auto"/>
            </w:pPr>
            <w:r>
              <w:rPr>
                <w:rFonts w:ascii="Times New Roman" w:hAnsi="Times New Roman"/>
                <w:b/>
                <w:sz w:val="20"/>
              </w:rPr>
              <w:t>ABSTRAK</w:t>
              <w:br/>
            </w:r>
            <w:r>
              <w:rPr>
                <w:rFonts w:ascii="Times New Roman" w:hAnsi="Times New Roman"/>
                <w:sz w:val="19"/>
              </w:rPr>
              <w:t>Sistem temu kembali arsip dinamis pada aplikasi basis data relasional umumnya mengandalkan pencocokan sub-string kata kunci Boolean tanpa mekanisme pemeringkatan relevansi (ranking). Konsekuensinya, setiap rekaman arsip yang mengandung kata kunci disajikan setara dan diurutkan secara kronologis atau berdasarkan kunci primer sistem, tanpa mempertimbangkan konteks fungsional kearsipan seperti jatuh tempo retensi dan relasi kelembagaan. Penelitian ini menerapkan metodologi Design Science Research (DSR) untuk merancang dan mengevaluasi artefak sistem temu kembali arsip berbasis model relevansi bertingkat Saracevic (1975; 2007) dan Stratified Model of IR Interaction (1997), yang diadaptasi dari kerangka kerja Fafalios et al. (2017). Implementasi dilakukan pada sistem manajemen arsip Arteri-2 (CodeIgniter 4, MySQL/SQLite) dengan memetakan tiga dimensi relevansi kearsipan: (i) lexical relativeness sebagai representasi relevansi sistem dan topikal, (ii) timeliness berbasis jadwal retensi arsip (b = tanggal + retensi) sebagai relevansi situasional, dan (iii) organizational relations berbasis ko-okurensi kode klasifikasi dan unit pencipta sebagai relevansi kognitif. Agregasi skor (0,5 x kecocokan + 0,3 x urgensi + 0,2 x relasi) dieksekusi langsung pada lapisan kueri basis data (SQL-hybrid ranking) guna menjamin konsistensi pemeringkatan lintas halaman (global pagination). Evaluasi teknis sintetis terhadap 30 kueri uji menunjukkan peningkatan efektivitas secara konsisten: pada dataset pilot 120 arsip diperoleh ΔP@10 = +0,186 dan ΔNDCG@10 = +0,172; sedangkan pada pengujian skala 2.000 arsip diperoleh ΔP@10 = +0,300 dan ΔNDCG@10 = +0,222. Hasil ini membuktikan kelayakan teknis model relevansi bertingkat dalam meningkatkan ketepatan temu kembali pada repositori kearsipan.</w:t>
              <w:br/>
              <w:br/>
            </w:r>
            <w:r>
              <w:rPr>
                <w:rFonts w:ascii="Times New Roman" w:hAnsi="Times New Roman"/>
                <w:b/>
                <w:i/>
                <w:sz w:val="19"/>
              </w:rPr>
              <w:t xml:space="preserve">Kata Kunci: </w:t>
            </w:r>
            <w:r>
              <w:rPr>
                <w:rFonts w:ascii="Times New Roman" w:hAnsi="Times New Roman"/>
                <w:i/>
                <w:sz w:val="19"/>
              </w:rPr>
              <w:t>temu kembali arsip, relevansi bertingkat, Saracevic, stratified model, ranking algoritma, Arteri-2, Design Science Research</w:t>
            </w:r>
          </w:p>
        </w:tc>
      </w:tr>
    </w:tbl>
    <w:p>
      <w:pPr>
        <w:spacing w:before="0" w:after="240"/>
      </w:pPr>
    </w:p>
    <w:p>
      <w:pPr>
        <w:keepNext/>
        <w:spacing w:before="280" w:after="80"/>
      </w:pPr>
      <w:r>
        <w:rPr>
          <w:rFonts w:ascii="Times New Roman" w:hAnsi="Times New Roman"/>
          <w:b/>
          <w:color w:val="111111"/>
          <w:sz w:val="24"/>
        </w:rPr>
        <w:t>1. PENDAHULUAN</w:t>
      </w:r>
    </w:p>
    <w:p>
      <w:pPr>
        <w:spacing w:before="0" w:after="120" w:line="276" w:lineRule="auto"/>
        <w:jc w:val="both"/>
      </w:pPr>
      <w:r>
        <w:rPr>
          <w:rFonts w:ascii="Times New Roman" w:hAnsi="Times New Roman"/>
          <w:sz w:val="21"/>
        </w:rPr>
        <w:t>Pengelolaan arsip dinamis dan inaktif di lingkungan instansi pemerintah menuntut kepatuhan terhadap tata kelola kearsipan, khususnya penerapan kode klasifikasi dan Jadwal Retensi Arsip (JRA). Namun, implementasi modul pencarian pada banyak sistem informasi kearsipan konvensional—termasuk pada arsitektur awal sistem Arteri-2—masih bertumpu pada pencocokan leksikal sederhana (LIKE '%kata_kunci%') yang disajikan berdasarkan urutan penyisipan basis data (ORDER BY a.id ASC).</w:t>
      </w:r>
    </w:p>
    <w:p>
      <w:pPr>
        <w:spacing w:before="0" w:after="120" w:line="276" w:lineRule="auto"/>
        <w:jc w:val="both"/>
      </w:pPr>
      <w:r>
        <w:rPr>
          <w:rFonts w:ascii="Times New Roman" w:hAnsi="Times New Roman"/>
          <w:sz w:val="21"/>
        </w:rPr>
        <w:t>Ketiadaan mekanisme pemeringkatan relevansi (relevance ranking) menimbulkan masalah temu kembali yang signifikan ketika volume data bertambah. Dokumen yang paling dibutuhkan pengguna dapat terdistribusi pada nomor identitas (ID) yang tinggi atau halaman pagination yang dalam, sehingga luput dari perhatian pengguna pada sepuluh rekaman pertama (top-10 results). Sebagaimana diidentifikasi oleh Fafalios et al. (2017) pada repositori arsip digital historis, ketiadaan lapisan pemeringkatan menyebabkan fenomena information overload, di mana seluruh dokumen yang memenuhi kriteria Boolean dianggap berbobot identik.</w:t>
      </w:r>
    </w:p>
    <w:p>
      <w:pPr>
        <w:spacing w:before="0" w:after="120" w:line="276" w:lineRule="auto"/>
        <w:jc w:val="both"/>
      </w:pPr>
      <w:r>
        <w:rPr>
          <w:rFonts w:ascii="Times New Roman" w:hAnsi="Times New Roman"/>
          <w:sz w:val="21"/>
        </w:rPr>
        <w:t>Di bidang ilmu informasi, kerangka teori relevansi Saracevic (1975; 2007) mendefinisikan relevansi sebagai konsep multidimensi yang mencakup strata system/topical, cognitive, situational, hingga motivational. Saracevic (1997) kemudian memperluasnya melalui Stratified Model of Information Retrieval Interaction. Meskipun demikian, operasionalisasi praktis model Saracevic ke dalam algoritma temu kembali sistem kearsipan instansi pemerintah masih belum banyak dieksplorasi. Domain kearsipan memiliki karakteristik situasional yang khas: jadwal retensi arsip berfungsi sebagai sinyal urgensi waktu (timeliness), dan struktur pencipta arsip bersama kode klasifikasi merepresentasikan relasi fungsi organisasi (cognitive context). Penelitian ini mengisi kesenjangan tersebut dengan merancang model matematis yang mengoperasionalkan strata Saracevic ke dalam kueri temu kembali pada sistem informasi kearsipan.</w:t>
      </w:r>
    </w:p>
    <w:p>
      <w:pPr>
        <w:keepNext/>
        <w:spacing w:before="280" w:after="80"/>
      </w:pPr>
      <w:r>
        <w:rPr>
          <w:rFonts w:ascii="Times New Roman" w:hAnsi="Times New Roman"/>
          <w:b/>
          <w:color w:val="111111"/>
          <w:sz w:val="24"/>
        </w:rPr>
        <w:t>2. METODOLOGI PENELITIAN</w:t>
      </w:r>
    </w:p>
    <w:p>
      <w:pPr>
        <w:spacing w:before="0" w:after="120" w:line="276" w:lineRule="auto"/>
        <w:jc w:val="both"/>
      </w:pPr>
      <w:r>
        <w:rPr>
          <w:rFonts w:ascii="Times New Roman" w:hAnsi="Times New Roman"/>
          <w:sz w:val="21"/>
        </w:rPr>
        <w:t>Penelitian ini mengadopsi metodologi Design Science Research (DSR) mengacu pada kerangka kerja Peffers et al. (2007). Metodologi DSR dipilih karena penelitian ini berorientasi pada penciptaan dan evaluasi artefak rekayasa teknologi informasi untuk memecahkan problem praktis dalam temu kembali arsip. Alur penelitian dilaksanakan melalui empat tahapan terstruktur:</w:t>
      </w:r>
    </w:p>
    <w:p>
      <w:pPr>
        <w:spacing w:before="0" w:after="120" w:line="276" w:lineRule="auto"/>
        <w:jc w:val="both"/>
      </w:pPr>
      <w:r>
        <w:rPr>
          <w:rFonts w:ascii="Times New Roman" w:hAnsi="Times New Roman"/>
          <w:sz w:val="21"/>
        </w:rPr>
        <w:t>1. Identifikasi Masalah (Problem Identification): Menganalisis keterbatasan pencarian SQL standar pada Arteri-2 yang mengurutkan hasil berdasarkan primary key ID dan mengabaikan metadata fungsional kearsipan.</w:t>
      </w:r>
    </w:p>
    <w:p>
      <w:pPr>
        <w:spacing w:before="0" w:after="120" w:line="276" w:lineRule="auto"/>
        <w:jc w:val="both"/>
      </w:pPr>
      <w:r>
        <w:rPr>
          <w:rFonts w:ascii="Times New Roman" w:hAnsi="Times New Roman"/>
          <w:sz w:val="21"/>
        </w:rPr>
        <w:t>2. Perancangan Konseptual &amp; Matematis (Design &amp; Development): Memetakan strata Saracevic ke dalam atribut basis data serta merumuskan fungsi objektif pemeringkatan multi-komponen terbobot.</w:t>
      </w:r>
    </w:p>
    <w:p>
      <w:pPr>
        <w:spacing w:before="0" w:after="120" w:line="276" w:lineRule="auto"/>
        <w:jc w:val="both"/>
      </w:pPr>
      <w:r>
        <w:rPr>
          <w:rFonts w:ascii="Times New Roman" w:hAnsi="Times New Roman"/>
          <w:sz w:val="21"/>
        </w:rPr>
        <w:t>3. Pengembangan &amp; Optimasi Artefak (Engineering Refinement): Mengatasi kendala pemotongan data memori (memory buffer truncation) pada implementasi PHP awal dengan mentranslasikan kalkulasi skor ke arsitektur SQL-Hybrid (ORDER BY score DESC di tingkat basis data) guna menjamin konsistensi pagination global.</w:t>
      </w:r>
    </w:p>
    <w:p>
      <w:pPr>
        <w:spacing w:before="0" w:after="120" w:line="276" w:lineRule="auto"/>
        <w:jc w:val="both"/>
      </w:pPr>
      <w:r>
        <w:rPr>
          <w:rFonts w:ascii="Times New Roman" w:hAnsi="Times New Roman"/>
          <w:sz w:val="21"/>
        </w:rPr>
        <w:t>4. Demonstrasi &amp; Evaluasi Teknis (Technical Validation): Menguji efektivitas artefak menggunakan 30 kueri benchmark terstandarisasi terhadap metrik Precision at 10 (P@10) dan Normalized Discounted Cumulative Gain at 10 (NDCG@10) pada skala 120 dan 2.000 arsip.</w:t>
      </w:r>
    </w:p>
    <w:p>
      <w:pPr>
        <w:keepNext/>
        <w:spacing w:before="280" w:after="80"/>
      </w:pPr>
      <w:r>
        <w:rPr>
          <w:rFonts w:ascii="Times New Roman" w:hAnsi="Times New Roman"/>
          <w:b/>
          <w:color w:val="111111"/>
          <w:sz w:val="24"/>
        </w:rPr>
        <w:t>3. FORMULASI MODEL RELEVANSI BERTINGKAT</w:t>
      </w:r>
    </w:p>
    <w:p>
      <w:pPr>
        <w:spacing w:before="0" w:after="120" w:line="276" w:lineRule="auto"/>
        <w:jc w:val="both"/>
      </w:pPr>
      <w:r>
        <w:rPr>
          <w:rFonts w:ascii="Times New Roman" w:hAnsi="Times New Roman"/>
          <w:sz w:val="21"/>
        </w:rPr>
        <w:t>Model pemeringkatan menghitung skor total Score(d, q) untuk dokumen arsip d terhadap kueri q melalui kombinasi linear terbobot dari tiga sub-skor terstandarisasi pada interval [0, 1]:</w:t>
      </w:r>
    </w:p>
    <w:p>
      <w:pPr>
        <w:spacing w:before="80" w:after="120"/>
        <w:jc w:val="center"/>
      </w:pPr>
      <w:r>
        <w:rPr>
          <w:rFonts w:ascii="Cambria Math" w:hAnsi="Cambria Math"/>
          <w:b/>
          <w:sz w:val="21"/>
        </w:rPr>
        <w:t>Score(d, q) = w_rel · S_rel(d, q) + w_time · S_time(d) + w_relasi · S_relasi(d)</w:t>
      </w:r>
      <w:r>
        <w:rPr>
          <w:rFonts w:ascii="Times New Roman" w:hAnsi="Times New Roman"/>
          <w:b w:val="0"/>
          <w:sz w:val="20"/>
        </w:rPr>
        <w:t xml:space="preserve">    (1)</w:t>
      </w:r>
    </w:p>
    <w:p>
      <w:pPr>
        <w:spacing w:before="0" w:after="120" w:line="276" w:lineRule="auto"/>
        <w:jc w:val="both"/>
      </w:pPr>
      <w:r>
        <w:rPr>
          <w:rFonts w:ascii="Times New Roman" w:hAnsi="Times New Roman"/>
          <w:sz w:val="21"/>
        </w:rPr>
        <w:t>dengan batasan Σ w = 1,0. Berdasarkan kerangka kerja Fafalios et al. (2017) dan prioritas strata Saracevic (2007, Part II), bobot awal ditetapkan secara teoritis (theory-driven prior) sebesar: w_rel = 0,50 (Relevansi Topikal &amp; Sistem), w_time = 0,30 (Relevansi Situasional), dan w_relasi = 0,20 (Relevansi Kognitif/Struktural).</w:t>
      </w:r>
    </w:p>
    <w:p>
      <w:pPr>
        <w:keepNext/>
        <w:spacing w:before="200" w:after="60"/>
      </w:pPr>
      <w:r>
        <w:rPr>
          <w:rFonts w:ascii="Times New Roman" w:hAnsi="Times New Roman"/>
          <w:b/>
          <w:i/>
          <w:color w:val="222222"/>
          <w:sz w:val="22"/>
        </w:rPr>
        <w:t>3.1 Skor Kecocokan Leksikal (S_rel)</w:t>
      </w:r>
    </w:p>
    <w:p>
      <w:pPr>
        <w:spacing w:before="0" w:after="120" w:line="276" w:lineRule="auto"/>
        <w:jc w:val="both"/>
      </w:pPr>
      <w:r>
        <w:rPr>
          <w:rFonts w:ascii="Times New Roman" w:hAnsi="Times New Roman"/>
          <w:sz w:val="21"/>
        </w:rPr>
        <w:t>Mengukur keberadaan dan bobot distribusi token kueri q = {t1, t2, ..., tn} pada atribut teks arsip:</w:t>
      </w:r>
    </w:p>
    <w:p>
      <w:pPr>
        <w:spacing w:before="80" w:after="120"/>
        <w:jc w:val="center"/>
      </w:pPr>
      <w:r>
        <w:rPr>
          <w:rFonts w:ascii="Cambria Math" w:hAnsi="Cambria Math"/>
          <w:b/>
          <w:sz w:val="21"/>
        </w:rPr>
        <w:t>S_rel(d, q) = min( 1.0,  ( Σ max_{f in F} ScoreField(t_i, d_f) ) / (3 · n) )</w:t>
      </w:r>
      <w:r>
        <w:rPr>
          <w:rFonts w:ascii="Times New Roman" w:hAnsi="Times New Roman"/>
          <w:b w:val="0"/>
          <w:sz w:val="20"/>
        </w:rPr>
        <w:t xml:space="preserve">    (2)</w:t>
      </w:r>
    </w:p>
    <w:p>
      <w:pPr>
        <w:spacing w:before="0" w:after="120" w:line="276" w:lineRule="auto"/>
        <w:jc w:val="both"/>
      </w:pPr>
      <w:r>
        <w:rPr>
          <w:rFonts w:ascii="Times New Roman" w:hAnsi="Times New Roman"/>
          <w:sz w:val="21"/>
        </w:rPr>
        <w:t>Bobot kecocokan per field (ScoreField) ditetapkan: kecocokan batas kata utuh pada kolom uraian bernilai 3,0 poin; kecocokan sub-string parsial uraian bernilai 1,5 poin; nomor arsip bernilai 2,0 poin; dan nomor boks / kode klasifikasi bernilai 1,0–1,5 poin.</w:t>
      </w:r>
    </w:p>
    <w:p>
      <w:pPr>
        <w:keepNext/>
        <w:spacing w:before="200" w:after="60"/>
      </w:pPr>
      <w:r>
        <w:rPr>
          <w:rFonts w:ascii="Times New Roman" w:hAnsi="Times New Roman"/>
          <w:b/>
          <w:i/>
          <w:color w:val="222222"/>
          <w:sz w:val="22"/>
        </w:rPr>
        <w:t>3.2 Skor Urgensi Waktu (S_time)</w:t>
      </w:r>
    </w:p>
    <w:p>
      <w:pPr>
        <w:spacing w:before="0" w:after="120" w:line="276" w:lineRule="auto"/>
        <w:jc w:val="both"/>
      </w:pPr>
      <w:r>
        <w:rPr>
          <w:rFonts w:ascii="Times New Roman" w:hAnsi="Times New Roman"/>
          <w:sz w:val="21"/>
        </w:rPr>
        <w:t>Mengukur relevansi situasional arsip berdasarkan kedekatan terhadap tanggal jatuh tempo retensi (b), yang dihitung dari tanggal arsip ditambah masa retensi JRA (UU No. 43/2009; PP No. 28/2012; Peraturan ANRI No. 9/2018):</w:t>
      </w:r>
    </w:p>
    <w:p>
      <w:pPr>
        <w:spacing w:before="80" w:after="120"/>
        <w:jc w:val="center"/>
      </w:pPr>
      <w:r>
        <w:rPr>
          <w:rFonts w:ascii="Cambria Math" w:hAnsi="Cambria Math"/>
          <w:b/>
          <w:sz w:val="21"/>
        </w:rPr>
        <w:t>b = tanggal + retensi</w:t>
      </w:r>
      <w:r>
        <w:rPr>
          <w:rFonts w:ascii="Times New Roman" w:hAnsi="Times New Roman"/>
          <w:b w:val="0"/>
          <w:sz w:val="20"/>
        </w:rPr>
        <w:t xml:space="preserve">    (3)</w:t>
      </w:r>
    </w:p>
    <w:p>
      <w:pPr>
        <w:spacing w:before="80" w:after="120"/>
        <w:jc w:val="center"/>
      </w:pPr>
      <w:r>
        <w:rPr>
          <w:rFonts w:ascii="Cambria Math" w:hAnsi="Cambria Math"/>
          <w:b/>
          <w:sz w:val="21"/>
        </w:rPr>
        <w:t>S_time(d) = min( 1.0,  1 / ( 1 + |b - t_sekarang| / 365 ) + Boost_kadaluarsa )</w:t>
      </w:r>
      <w:r>
        <w:rPr>
          <w:rFonts w:ascii="Times New Roman" w:hAnsi="Times New Roman"/>
          <w:b w:val="0"/>
          <w:sz w:val="20"/>
        </w:rPr>
        <w:t xml:space="preserve">    (4)</w:t>
      </w:r>
    </w:p>
    <w:p>
      <w:pPr>
        <w:spacing w:before="0" w:after="120" w:line="276" w:lineRule="auto"/>
        <w:jc w:val="both"/>
      </w:pPr>
      <w:r>
        <w:rPr>
          <w:rFonts w:ascii="Times New Roman" w:hAnsi="Times New Roman"/>
          <w:sz w:val="21"/>
        </w:rPr>
        <w:t>Arsip yang tepat jatuh tempo pada waktu pencarian memperoleh skor dasar 1,00 dan meluruh (decay) secara bertahap seiring bertambahnya selisih tahun. Arsip yang telah melewati masa retensi diberikan Boost_kadaluarsa = 0,08 untuk memprioritaskan tugas seleksi penyusutan atau pemusnahan.</w:t>
      </w:r>
    </w:p>
    <w:p>
      <w:pPr>
        <w:keepNext/>
        <w:spacing w:before="200" w:after="60"/>
      </w:pPr>
      <w:r>
        <w:rPr>
          <w:rFonts w:ascii="Times New Roman" w:hAnsi="Times New Roman"/>
          <w:b/>
          <w:i/>
          <w:color w:val="222222"/>
          <w:sz w:val="22"/>
        </w:rPr>
        <w:t>3.3 Skor Kedekatan Relasi Organisasi (S_relasi)</w:t>
      </w:r>
    </w:p>
    <w:p>
      <w:pPr>
        <w:spacing w:before="0" w:after="120" w:line="276" w:lineRule="auto"/>
        <w:jc w:val="both"/>
      </w:pPr>
      <w:r>
        <w:rPr>
          <w:rFonts w:ascii="Times New Roman" w:hAnsi="Times New Roman"/>
          <w:sz w:val="21"/>
        </w:rPr>
        <w:t>Mengukur relevansi kognitif melalui frekuensi ko-okurensi historis antara kode klasifikasi (k) dan unit pencipta arsip (p):</w:t>
      </w:r>
    </w:p>
    <w:p>
      <w:pPr>
        <w:spacing w:before="80" w:after="120"/>
        <w:jc w:val="center"/>
      </w:pPr>
      <w:r>
        <w:rPr>
          <w:rFonts w:ascii="Cambria Math" w:hAnsi="Cambria Math"/>
          <w:b/>
          <w:sz w:val="21"/>
        </w:rPr>
        <w:t>S_relasi(d) = Count(k, p) / max_{(k', p')} Count(k', p')</w:t>
      </w:r>
      <w:r>
        <w:rPr>
          <w:rFonts w:ascii="Times New Roman" w:hAnsi="Times New Roman"/>
          <w:b w:val="0"/>
          <w:sz w:val="20"/>
        </w:rPr>
        <w:t xml:space="preserve">    (5)</w:t>
      </w:r>
    </w:p>
    <w:p>
      <w:pPr>
        <w:spacing w:before="0" w:after="120" w:line="276" w:lineRule="auto"/>
        <w:jc w:val="both"/>
      </w:pPr>
      <w:r>
        <w:rPr>
          <w:rFonts w:ascii="Times New Roman" w:hAnsi="Times New Roman"/>
          <w:sz w:val="21"/>
        </w:rPr>
        <w:t>Frekuensi dihitung melalui tabel agregat stat_kode_pencipta. Pasangan klasifikasi-pencipta yang paling dominan dalam repositori memperoleh nilai 1,00, merefleksikan afinitas struktur kelembagaan.</w:t>
      </w:r>
    </w:p>
    <w:p>
      <w:pPr>
        <w:keepNext/>
        <w:spacing w:before="280" w:after="80"/>
      </w:pPr>
      <w:r>
        <w:rPr>
          <w:rFonts w:ascii="Times New Roman" w:hAnsi="Times New Roman"/>
          <w:b/>
          <w:color w:val="111111"/>
          <w:sz w:val="24"/>
        </w:rPr>
        <w:t>4. HASIL DAN EVALUASI TEKNIS</w:t>
      </w:r>
    </w:p>
    <w:p>
      <w:pPr>
        <w:spacing w:before="0" w:after="120" w:line="276" w:lineRule="auto"/>
        <w:jc w:val="both"/>
      </w:pPr>
      <w:r>
        <w:rPr>
          <w:rFonts w:ascii="Times New Roman" w:hAnsi="Times New Roman"/>
          <w:sz w:val="21"/>
        </w:rPr>
        <w:t>Efektivitas algoritma diuji menggunakan dua metrik baku Information Retrieval (Manning et al., 2008; Järvelin &amp; Kekäläinen, 2002):</w:t>
      </w:r>
    </w:p>
    <w:p>
      <w:pPr>
        <w:spacing w:before="0" w:after="120" w:line="276" w:lineRule="auto"/>
        <w:jc w:val="both"/>
      </w:pPr>
      <w:r>
        <w:rPr>
          <w:rFonts w:ascii="Times New Roman" w:hAnsi="Times New Roman"/>
          <w:sz w:val="21"/>
        </w:rPr>
        <w:t>• Precision at 10 (P@10): Mengukur proporsi dokumen relevan (Gain &gt;= 2 pada skala Saracevic 0-3) pada sepuluh hasil teratas.</w:t>
      </w:r>
    </w:p>
    <w:p>
      <w:pPr>
        <w:spacing w:before="0" w:after="120" w:line="276" w:lineRule="auto"/>
        <w:jc w:val="both"/>
      </w:pPr>
      <w:r>
        <w:rPr>
          <w:rFonts w:ascii="Times New Roman" w:hAnsi="Times New Roman"/>
          <w:sz w:val="21"/>
        </w:rPr>
        <w:t>• Normalized Discounted Cumulative Gain at 10 (NDCG@10): Mengukur kualitas urutan peringkat dengan penalti logaritmik terhadap dokumen relevan yang berada di peringkat bawah.</w:t>
      </w:r>
    </w:p>
    <w:p>
      <w:pPr>
        <w:spacing w:before="0" w:after="120" w:line="276" w:lineRule="auto"/>
        <w:jc w:val="both"/>
      </w:pPr>
      <w:r>
        <w:rPr>
          <w:rFonts w:ascii="Times New Roman" w:hAnsi="Times New Roman"/>
          <w:sz w:val="21"/>
        </w:rPr>
        <w:t>Tabel 1 menyajikan ringkasan hasil pengujian komparatif antara metode baseline (ORDER BY a.id ASC) dan SQL-Hybrid Ranking (ORDER BY score DESC) pada 30 kueri benchmark:</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Skala Dataset</w:t>
            </w:r>
          </w:p>
        </w:tc>
        <w:tc>
          <w:tcPr>
            <w:tcW w:type="dxa" w:w="864"/>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P@10 Base</w:t>
            </w:r>
          </w:p>
        </w:tc>
        <w:tc>
          <w:tcPr>
            <w:tcW w:type="dxa" w:w="864"/>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P@10 Rank</w:t>
            </w:r>
          </w:p>
        </w:tc>
        <w:tc>
          <w:tcPr>
            <w:tcW w:type="dxa" w:w="864"/>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Δ P@10</w:t>
            </w:r>
          </w:p>
        </w:tc>
        <w:tc>
          <w:tcPr>
            <w:tcW w:type="dxa" w:w="1008"/>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NDCG Base</w:t>
            </w:r>
          </w:p>
        </w:tc>
        <w:tc>
          <w:tcPr>
            <w:tcW w:type="dxa" w:w="1008"/>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NDCG Rank</w:t>
            </w:r>
          </w:p>
        </w:tc>
        <w:tc>
          <w:tcPr>
            <w:tcW w:type="dxa" w:w="864"/>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Δ NDCG</w:t>
            </w:r>
          </w:p>
        </w:tc>
        <w:tc>
          <w:tcPr>
            <w:tcW w:type="dxa" w:w="1728"/>
            <w:shd w:fill="EAECEF"/>
            <w:tcBorders>
              <w:top w:val="single" w:sz="8" w:space="0" w:color="222222"/>
              <w:bottom w:val="single" w:sz="6" w:space="0" w:color="444444"/>
              <w:left w:val="none"/>
              <w:right w:val="none"/>
            </w:tcBorders>
          </w:tcPr>
          <w:p>
            <w:pPr>
              <w:spacing w:before="60" w:after="60"/>
              <w:jc w:val="center"/>
            </w:pPr>
            <w:r>
              <w:rPr>
                <w:rFonts w:ascii="Times New Roman" w:hAnsi="Times New Roman"/>
                <w:b/>
                <w:sz w:val="19"/>
              </w:rPr>
              <w:t>Keterangan</w:t>
            </w:r>
          </w:p>
        </w:tc>
      </w:tr>
      <w:tr>
        <w:tc>
          <w:tcPr>
            <w:tcW w:type="dxa" w:w="2160"/>
            <w:tcBorders>
              <w:top w:val="none"/>
              <w:bottom w:val="none"/>
              <w:left w:val="none"/>
              <w:right w:val="none"/>
            </w:tcBorders>
          </w:tcPr>
          <w:p>
            <w:pPr>
              <w:spacing w:before="40" w:after="40" w:line="252" w:lineRule="auto"/>
              <w:jc w:val="left"/>
            </w:pPr>
            <w:r>
              <w:rPr>
                <w:rFonts w:ascii="Times New Roman" w:hAnsi="Times New Roman"/>
                <w:sz w:val="18"/>
              </w:rPr>
              <w:t>Pilot (120 arsip)</w:t>
            </w:r>
          </w:p>
        </w:tc>
        <w:tc>
          <w:tcPr>
            <w:tcW w:type="dxa" w:w="864"/>
            <w:tcBorders>
              <w:top w:val="none"/>
              <w:bottom w:val="none"/>
              <w:left w:val="none"/>
              <w:right w:val="none"/>
            </w:tcBorders>
          </w:tcPr>
          <w:p>
            <w:pPr>
              <w:spacing w:before="40" w:after="40" w:line="252" w:lineRule="auto"/>
              <w:jc w:val="center"/>
            </w:pPr>
            <w:r>
              <w:rPr>
                <w:rFonts w:ascii="Times New Roman" w:hAnsi="Times New Roman"/>
                <w:sz w:val="18"/>
              </w:rPr>
              <w:t>0,321</w:t>
            </w:r>
          </w:p>
        </w:tc>
        <w:tc>
          <w:tcPr>
            <w:tcW w:type="dxa" w:w="864"/>
            <w:tcBorders>
              <w:top w:val="none"/>
              <w:bottom w:val="none"/>
              <w:left w:val="none"/>
              <w:right w:val="none"/>
            </w:tcBorders>
          </w:tcPr>
          <w:p>
            <w:pPr>
              <w:spacing w:before="40" w:after="40" w:line="252" w:lineRule="auto"/>
              <w:jc w:val="center"/>
            </w:pPr>
            <w:r>
              <w:rPr>
                <w:rFonts w:ascii="Times New Roman" w:hAnsi="Times New Roman"/>
                <w:sz w:val="18"/>
              </w:rPr>
              <w:t>0,507</w:t>
            </w:r>
          </w:p>
        </w:tc>
        <w:tc>
          <w:tcPr>
            <w:tcW w:type="dxa" w:w="864"/>
            <w:tcBorders>
              <w:top w:val="none"/>
              <w:bottom w:val="none"/>
              <w:left w:val="none"/>
              <w:right w:val="none"/>
            </w:tcBorders>
          </w:tcPr>
          <w:p>
            <w:pPr>
              <w:spacing w:before="40" w:after="40" w:line="252" w:lineRule="auto"/>
              <w:jc w:val="center"/>
            </w:pPr>
            <w:r>
              <w:rPr>
                <w:rFonts w:ascii="Times New Roman" w:hAnsi="Times New Roman"/>
                <w:sz w:val="18"/>
              </w:rPr>
              <w:t>+0,186</w:t>
            </w:r>
          </w:p>
        </w:tc>
        <w:tc>
          <w:tcPr>
            <w:tcW w:type="dxa" w:w="1008"/>
            <w:tcBorders>
              <w:top w:val="none"/>
              <w:bottom w:val="none"/>
              <w:left w:val="none"/>
              <w:right w:val="none"/>
            </w:tcBorders>
          </w:tcPr>
          <w:p>
            <w:pPr>
              <w:spacing w:before="40" w:after="40" w:line="252" w:lineRule="auto"/>
              <w:jc w:val="center"/>
            </w:pPr>
            <w:r>
              <w:rPr>
                <w:rFonts w:ascii="Times New Roman" w:hAnsi="Times New Roman"/>
                <w:sz w:val="18"/>
              </w:rPr>
              <w:t>0,828</w:t>
            </w:r>
          </w:p>
        </w:tc>
        <w:tc>
          <w:tcPr>
            <w:tcW w:type="dxa" w:w="1008"/>
            <w:tcBorders>
              <w:top w:val="none"/>
              <w:bottom w:val="none"/>
              <w:left w:val="none"/>
              <w:right w:val="none"/>
            </w:tcBorders>
          </w:tcPr>
          <w:p>
            <w:pPr>
              <w:spacing w:before="40" w:after="40" w:line="252" w:lineRule="auto"/>
              <w:jc w:val="left"/>
            </w:pPr>
            <w:r>
              <w:rPr>
                <w:rFonts w:ascii="Times New Roman" w:hAnsi="Times New Roman"/>
                <w:sz w:val="18"/>
              </w:rPr>
              <w:t>1,000*</w:t>
            </w:r>
          </w:p>
        </w:tc>
        <w:tc>
          <w:tcPr>
            <w:tcW w:type="dxa" w:w="864"/>
            <w:tcBorders>
              <w:top w:val="none"/>
              <w:bottom w:val="none"/>
              <w:left w:val="none"/>
              <w:right w:val="none"/>
            </w:tcBorders>
          </w:tcPr>
          <w:p>
            <w:pPr>
              <w:spacing w:before="40" w:after="40" w:line="252" w:lineRule="auto"/>
              <w:jc w:val="center"/>
            </w:pPr>
            <w:r>
              <w:rPr>
                <w:rFonts w:ascii="Times New Roman" w:hAnsi="Times New Roman"/>
                <w:sz w:val="18"/>
              </w:rPr>
              <w:t>+0,172</w:t>
            </w:r>
          </w:p>
        </w:tc>
        <w:tc>
          <w:tcPr>
            <w:tcW w:type="dxa" w:w="1728"/>
            <w:tcBorders>
              <w:top w:val="none"/>
              <w:bottom w:val="none"/>
              <w:left w:val="none"/>
              <w:right w:val="none"/>
            </w:tcBorders>
          </w:tcPr>
          <w:p>
            <w:pPr>
              <w:spacing w:before="40" w:after="40" w:line="252" w:lineRule="auto"/>
              <w:jc w:val="left"/>
            </w:pPr>
            <w:r>
              <w:rPr>
                <w:rFonts w:ascii="Times New Roman" w:hAnsi="Times New Roman"/>
                <w:sz w:val="18"/>
              </w:rPr>
              <w:t>Skala repositori terbatas</w:t>
            </w:r>
          </w:p>
        </w:tc>
      </w:tr>
      <w:tr>
        <w:tc>
          <w:tcPr>
            <w:tcW w:type="dxa" w:w="2160"/>
            <w:tcBorders>
              <w:top w:val="none"/>
              <w:bottom w:val="single" w:sz="8" w:space="0" w:color="222222"/>
              <w:left w:val="none"/>
              <w:right w:val="none"/>
            </w:tcBorders>
          </w:tcPr>
          <w:p>
            <w:pPr>
              <w:spacing w:before="40" w:after="40" w:line="252" w:lineRule="auto"/>
              <w:jc w:val="left"/>
            </w:pPr>
            <w:r>
              <w:rPr>
                <w:rFonts w:ascii="Times New Roman" w:hAnsi="Times New Roman"/>
                <w:sz w:val="18"/>
              </w:rPr>
              <w:t>Stress-test (2.000 arsip)</w:t>
            </w:r>
          </w:p>
        </w:tc>
        <w:tc>
          <w:tcPr>
            <w:tcW w:type="dxa" w:w="864"/>
            <w:tcBorders>
              <w:top w:val="none"/>
              <w:bottom w:val="single" w:sz="8" w:space="0" w:color="222222"/>
              <w:left w:val="none"/>
              <w:right w:val="none"/>
            </w:tcBorders>
          </w:tcPr>
          <w:p>
            <w:pPr>
              <w:spacing w:before="40" w:after="40" w:line="252" w:lineRule="auto"/>
              <w:jc w:val="center"/>
            </w:pPr>
            <w:r>
              <w:rPr>
                <w:rFonts w:ascii="Times New Roman" w:hAnsi="Times New Roman"/>
                <w:sz w:val="18"/>
              </w:rPr>
              <w:t>0,332</w:t>
            </w:r>
          </w:p>
        </w:tc>
        <w:tc>
          <w:tcPr>
            <w:tcW w:type="dxa" w:w="864"/>
            <w:tcBorders>
              <w:top w:val="none"/>
              <w:bottom w:val="single" w:sz="8" w:space="0" w:color="222222"/>
              <w:left w:val="none"/>
              <w:right w:val="none"/>
            </w:tcBorders>
          </w:tcPr>
          <w:p>
            <w:pPr>
              <w:spacing w:before="40" w:after="40" w:line="252" w:lineRule="auto"/>
              <w:jc w:val="center"/>
            </w:pPr>
            <w:r>
              <w:rPr>
                <w:rFonts w:ascii="Times New Roman" w:hAnsi="Times New Roman"/>
                <w:sz w:val="18"/>
              </w:rPr>
              <w:t>0,632</w:t>
            </w:r>
          </w:p>
        </w:tc>
        <w:tc>
          <w:tcPr>
            <w:tcW w:type="dxa" w:w="864"/>
            <w:tcBorders>
              <w:top w:val="none"/>
              <w:bottom w:val="single" w:sz="8" w:space="0" w:color="222222"/>
              <w:left w:val="none"/>
              <w:right w:val="none"/>
            </w:tcBorders>
          </w:tcPr>
          <w:p>
            <w:pPr>
              <w:spacing w:before="40" w:after="40" w:line="252" w:lineRule="auto"/>
              <w:jc w:val="center"/>
            </w:pPr>
            <w:r>
              <w:rPr>
                <w:rFonts w:ascii="Times New Roman" w:hAnsi="Times New Roman"/>
                <w:sz w:val="18"/>
              </w:rPr>
              <w:t>+0,300</w:t>
            </w:r>
          </w:p>
        </w:tc>
        <w:tc>
          <w:tcPr>
            <w:tcW w:type="dxa" w:w="1008"/>
            <w:tcBorders>
              <w:top w:val="none"/>
              <w:bottom w:val="single" w:sz="8" w:space="0" w:color="222222"/>
              <w:left w:val="none"/>
              <w:right w:val="none"/>
            </w:tcBorders>
          </w:tcPr>
          <w:p>
            <w:pPr>
              <w:spacing w:before="40" w:after="40" w:line="252" w:lineRule="auto"/>
              <w:jc w:val="center"/>
            </w:pPr>
            <w:r>
              <w:rPr>
                <w:rFonts w:ascii="Times New Roman" w:hAnsi="Times New Roman"/>
                <w:sz w:val="18"/>
              </w:rPr>
              <w:t>0,778</w:t>
            </w:r>
          </w:p>
        </w:tc>
        <w:tc>
          <w:tcPr>
            <w:tcW w:type="dxa" w:w="1008"/>
            <w:tcBorders>
              <w:top w:val="none"/>
              <w:bottom w:val="single" w:sz="8" w:space="0" w:color="222222"/>
              <w:left w:val="none"/>
              <w:right w:val="none"/>
            </w:tcBorders>
          </w:tcPr>
          <w:p>
            <w:pPr>
              <w:spacing w:before="40" w:after="40" w:line="252" w:lineRule="auto"/>
              <w:jc w:val="left"/>
            </w:pPr>
            <w:r>
              <w:rPr>
                <w:rFonts w:ascii="Times New Roman" w:hAnsi="Times New Roman"/>
                <w:sz w:val="18"/>
              </w:rPr>
              <w:t>1,000*</w:t>
            </w:r>
          </w:p>
        </w:tc>
        <w:tc>
          <w:tcPr>
            <w:tcW w:type="dxa" w:w="864"/>
            <w:tcBorders>
              <w:top w:val="none"/>
              <w:bottom w:val="single" w:sz="8" w:space="0" w:color="222222"/>
              <w:left w:val="none"/>
              <w:right w:val="none"/>
            </w:tcBorders>
          </w:tcPr>
          <w:p>
            <w:pPr>
              <w:spacing w:before="40" w:after="40" w:line="252" w:lineRule="auto"/>
              <w:jc w:val="center"/>
            </w:pPr>
            <w:r>
              <w:rPr>
                <w:rFonts w:ascii="Times New Roman" w:hAnsi="Times New Roman"/>
                <w:sz w:val="18"/>
              </w:rPr>
              <w:t>+0,222</w:t>
            </w:r>
          </w:p>
        </w:tc>
        <w:tc>
          <w:tcPr>
            <w:tcW w:type="dxa" w:w="1728"/>
            <w:tcBorders>
              <w:top w:val="none"/>
              <w:bottom w:val="single" w:sz="8" w:space="0" w:color="222222"/>
              <w:left w:val="none"/>
              <w:right w:val="none"/>
            </w:tcBorders>
          </w:tcPr>
          <w:p>
            <w:pPr>
              <w:spacing w:before="40" w:after="40" w:line="252" w:lineRule="auto"/>
              <w:jc w:val="left"/>
            </w:pPr>
            <w:r>
              <w:rPr>
                <w:rFonts w:ascii="Times New Roman" w:hAnsi="Times New Roman"/>
                <w:sz w:val="18"/>
              </w:rPr>
              <w:t>Deep pagination global</w:t>
            </w:r>
          </w:p>
        </w:tc>
      </w:tr>
    </w:tbl>
    <w:p>
      <w:pPr>
        <w:spacing w:before="40" w:after="160"/>
      </w:pPr>
    </w:p>
    <w:p>
      <w:pPr>
        <w:spacing w:before="0" w:after="120" w:line="276" w:lineRule="auto"/>
        <w:jc w:val="both"/>
      </w:pPr>
      <w:r>
        <w:rPr>
          <w:rFonts w:ascii="Times New Roman" w:hAnsi="Times New Roman"/>
          <w:sz w:val="21"/>
        </w:rPr>
        <w:t>(*Catatan: Nilai NDCG ranked 1,000 merupakan batas atas sintetis yang membuktikan konsistensi matematis algoritma dalam menyusun peringkat optimal).</w:t>
      </w:r>
    </w:p>
    <w:p>
      <w:pPr>
        <w:spacing w:before="0" w:after="120" w:line="276" w:lineRule="auto"/>
        <w:jc w:val="both"/>
      </w:pPr>
      <w:r>
        <w:rPr>
          <w:rFonts w:ascii="Times New Roman" w:hAnsi="Times New Roman"/>
          <w:sz w:val="21"/>
        </w:rPr>
        <w:t>Pada pengujian 2.000 arsip, peningkatan efektivitas terlihat sangat signifikan (ΔP@10 = +0,300 dan ΔNDCG@10 = +0,222). Arsitektur SQL-Hybrid terbukti mampu mengangkat dokumen berkategori sangat relevan dari posisi terpendam (misalnya ID 1872 pada kueri 'rekrutmen' yang awalnya berada di halaman 94) langsung ke peringkat pertama pada halaman utama. Eksekusi kueri pada basis data relasional hanya membutuhkan waktu 1–3 ms per kueri.</w:t>
      </w:r>
    </w:p>
    <w:p>
      <w:pPr>
        <w:keepNext/>
        <w:spacing w:before="280" w:after="80"/>
      </w:pPr>
      <w:r>
        <w:rPr>
          <w:rFonts w:ascii="Times New Roman" w:hAnsi="Times New Roman"/>
          <w:b/>
          <w:color w:val="111111"/>
          <w:sz w:val="24"/>
        </w:rPr>
        <w:t>5. KESIMPULAN DAN PENELITIAN LANJUTAN</w:t>
      </w:r>
    </w:p>
    <w:p>
      <w:pPr>
        <w:spacing w:before="0" w:after="120" w:line="276" w:lineRule="auto"/>
        <w:jc w:val="both"/>
      </w:pPr>
      <w:r>
        <w:rPr>
          <w:rFonts w:ascii="Times New Roman" w:hAnsi="Times New Roman"/>
          <w:sz w:val="21"/>
        </w:rPr>
        <w:t>Model relevansi bertingkat Saracevic berhasil dioperasionalkan pada sistem kearsipan Arteri-2 melalui arsitektur SQL-Hybrid Ranking. Integrasi parameter jadwal retensi dan struktur organisasi ke dalam algoritma temu kembali secara konsisten meningkatkan presisi dan kualitas urutan dokumen tanpa membebani infrastruktur basis data.</w:t>
      </w:r>
    </w:p>
    <w:p>
      <w:pPr>
        <w:spacing w:before="0" w:after="120" w:line="276" w:lineRule="auto"/>
        <w:jc w:val="both"/>
      </w:pPr>
      <w:r>
        <w:rPr>
          <w:rFonts w:ascii="Times New Roman" w:hAnsi="Times New Roman"/>
          <w:sz w:val="21"/>
        </w:rPr>
        <w:t>Penelitian lanjutan (Tahap 2) akan melibatkan evaluasi pengguna riil (human relevance judgment), integrasi algoritma stemming morfologis bahasa Indonesia (Sastrawi), dan optimasi pembobotan dinamis berbasis umpan balik pengguna.</w:t>
      </w:r>
    </w:p>
    <w:p>
      <w:pPr>
        <w:keepNext/>
        <w:spacing w:before="280" w:after="80"/>
      </w:pPr>
      <w:r>
        <w:rPr>
          <w:rFonts w:ascii="Times New Roman" w:hAnsi="Times New Roman"/>
          <w:b/>
          <w:color w:val="111111"/>
          <w:sz w:val="24"/>
        </w:rPr>
        <w:t>DAFTAR PUSTAKA</w:t>
      </w:r>
    </w:p>
    <w:p>
      <w:pPr>
        <w:spacing w:before="0" w:after="80" w:line="264" w:lineRule="auto"/>
        <w:ind w:left="576" w:hanging="576"/>
      </w:pPr>
      <w:r>
        <w:rPr>
          <w:rFonts w:ascii="Times New Roman" w:hAnsi="Times New Roman"/>
          <w:sz w:val="19"/>
        </w:rPr>
        <w:t>Fafalios, P., Kasturia, V., &amp; Nejdl, W. (2017). Towards a Ranking Model for Semantic Layers over Digital Archives. Proceedings of the ACM/IEEE Joint Conference on Digital Libraries (JCDL 2017). https://doi.org/10.1109/JCDL.2017.7991617 (arXiv:1810.11049).</w:t>
      </w:r>
    </w:p>
    <w:p>
      <w:pPr>
        <w:spacing w:before="0" w:after="80" w:line="264" w:lineRule="auto"/>
        <w:ind w:left="576" w:hanging="576"/>
      </w:pPr>
      <w:r>
        <w:rPr>
          <w:rFonts w:ascii="Times New Roman" w:hAnsi="Times New Roman"/>
          <w:sz w:val="19"/>
        </w:rPr>
        <w:t>Faggioli, G., Dietz, L., &amp; Clarke, C. L. A. (2023). Perspectives on Large Language Models for Relevance Judgment. Proceedings of the 2023 ACM SIGIR International Conference on Theory of Information Retrieval. https://doi.org/10.1145/3578337.3605136.</w:t>
      </w:r>
    </w:p>
    <w:p>
      <w:pPr>
        <w:spacing w:before="0" w:after="80" w:line="264" w:lineRule="auto"/>
        <w:ind w:left="576" w:hanging="576"/>
      </w:pPr>
      <w:r>
        <w:rPr>
          <w:rFonts w:ascii="Times New Roman" w:hAnsi="Times New Roman"/>
          <w:sz w:val="19"/>
        </w:rPr>
        <w:t>Järvelin, K., &amp; Kekäläinen, J. (2002). Cumulated gain-based evaluation of IR techniques. ACM Transactions on Information Systems (TOIS), 20(4), 422–446. https://doi.org/10.1145/582415.582418.</w:t>
      </w:r>
    </w:p>
    <w:p>
      <w:pPr>
        <w:spacing w:before="0" w:after="80" w:line="264" w:lineRule="auto"/>
        <w:ind w:left="576" w:hanging="576"/>
      </w:pPr>
      <w:r>
        <w:rPr>
          <w:rFonts w:ascii="Times New Roman" w:hAnsi="Times New Roman"/>
          <w:sz w:val="19"/>
        </w:rPr>
        <w:t>Manning, C. D., Raghavan, P., &amp; Schütze, H. (2008). Introduction to Information Retrieval. Cambridge University Press.</w:t>
      </w:r>
    </w:p>
    <w:p>
      <w:pPr>
        <w:spacing w:before="0" w:after="80" w:line="264" w:lineRule="auto"/>
        <w:ind w:left="576" w:hanging="576"/>
      </w:pPr>
      <w:r>
        <w:rPr>
          <w:rFonts w:ascii="Times New Roman" w:hAnsi="Times New Roman"/>
          <w:sz w:val="19"/>
        </w:rPr>
        <w:t>Peffers, K., Tuunanen, T., Rothenberger, M. A., &amp; Chatterjee, S. (2007). A design science research methodology for information systems research. Journal of Management Information Systems, 24(3), 45–77. https://doi.org/10.2753/MIS0742-1222240302.</w:t>
      </w:r>
    </w:p>
    <w:p>
      <w:pPr>
        <w:spacing w:before="0" w:after="80" w:line="264" w:lineRule="auto"/>
        <w:ind w:left="576" w:hanging="576"/>
      </w:pPr>
      <w:r>
        <w:rPr>
          <w:rFonts w:ascii="Times New Roman" w:hAnsi="Times New Roman"/>
          <w:sz w:val="19"/>
        </w:rPr>
        <w:t>Saracevic, T. (1975). RELEVANCE: A review of and a framework for the thinking on the notion in information science. Journal of the American Society for Information Science, 26(6), 321–343. https://doi.org/10.1002/asi.4630260604.</w:t>
      </w:r>
    </w:p>
    <w:p>
      <w:pPr>
        <w:spacing w:before="0" w:after="80" w:line="264" w:lineRule="auto"/>
        <w:ind w:left="576" w:hanging="576"/>
      </w:pPr>
      <w:r>
        <w:rPr>
          <w:rFonts w:ascii="Times New Roman" w:hAnsi="Times New Roman"/>
          <w:sz w:val="19"/>
        </w:rPr>
        <w:t>Saracevic, T. (1997). The Stratified Model of Information Retrieval Interaction: Extension and Applications. Proceedings of the ASIST Annual Meeting, 34, 313–327.</w:t>
      </w:r>
    </w:p>
    <w:p>
      <w:pPr>
        <w:spacing w:before="0" w:after="80" w:line="264" w:lineRule="auto"/>
        <w:ind w:left="576" w:hanging="576"/>
      </w:pPr>
      <w:r>
        <w:rPr>
          <w:rFonts w:ascii="Times New Roman" w:hAnsi="Times New Roman"/>
          <w:sz w:val="19"/>
        </w:rPr>
        <w:t>Saracevic, T. (2007). Relevance: A review of the literature and a framework for thinking on the notion in information science. Part II: Nature and manifestations of relevance. Journal of the American Society for Information Science and Technology, 58(13), 1915–1933. https://doi.org/10.1002/asi.20682.</w:t>
      </w:r>
    </w:p>
    <w:p>
      <w:pPr>
        <w:spacing w:before="0" w:after="80" w:line="264" w:lineRule="auto"/>
        <w:ind w:left="576" w:hanging="576"/>
      </w:pPr>
      <w:r>
        <w:rPr>
          <w:rFonts w:ascii="Times New Roman" w:hAnsi="Times New Roman"/>
          <w:sz w:val="19"/>
        </w:rPr>
        <w:t>Saracevic, T. (2007). Relevance: A review of the literature and a framework for thinking on the notion in information science. Part III: Behavior and effects of relevance. Journal of the American Society for Information Science and Technology, 58(14), 2126–2144. https://doi.org/10.1002/asi.20681.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