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50"/>
        <w:gridCol w:w="7690"/>
      </w:tblGrid>
      <w:tr>
        <w:trPr>
          <w:trHeight w:val="15048" w:hRule="exact"/>
        </w:trPr>
        <w:tc>
          <w:tcPr>
            <w:tcW w:type="dxa" w:w="2650"/>
            <w:vAlign w:val="top"/>
            <w:shd w:fill="009076"/>
            <w:tcMar>
              <w:top w:w="125" w:type="dxa"/>
              <w:start w:w="135" w:type="dxa"/>
              <w:bottom w:w="100" w:type="dxa"/>
              <w:end w:w="125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>bluefin</w:t>
            </w:r>
          </w:p>
          <w:p>
            <w:pPr>
              <w:spacing w:after="8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Kandidaat</w:t>
            </w:r>
          </w:p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D5F2EB"/>
                <w:sz w:val="16"/>
              </w:rPr>
              <w:t>Business Controller</w:t>
            </w:r>
          </w:p>
          <w:p>
            <w:pPr>
              <w:spacing w:before="10" w:after="44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CONTACT</w:t>
            </w:r>
          </w:p>
          <w:p>
            <w:pPr>
              <w:spacing w:after="19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Regio Amersfoort</w:t>
            </w:r>
          </w:p>
          <w:p>
            <w:pPr>
              <w:spacing w:after="19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36 uur</w:t>
            </w:r>
          </w:p>
          <w:p>
            <w:pPr>
              <w:spacing w:after="19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Hybride werken</w:t>
            </w:r>
          </w:p>
          <w:p>
            <w:pPr>
              <w:spacing w:before="10" w:after="80" w:line="240" w:lineRule="auto"/>
              <w:pBdr>
                <w:bottom w:val="single" w:sz="5" w:space="1" w:color="64C4B2"/>
              </w:pBdr>
            </w:pPr>
          </w:p>
          <w:p>
            <w:pPr>
              <w:spacing w:before="10" w:after="44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EXPERTISE</w:t>
            </w:r>
          </w:p>
          <w:p>
            <w:pPr>
              <w:spacing w:after="18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Business control</w:t>
            </w:r>
          </w:p>
          <w:p>
            <w:pPr>
              <w:spacing w:after="18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Commercial finance</w:t>
            </w:r>
          </w:p>
          <w:p>
            <w:pPr>
              <w:spacing w:after="18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KPI reporting</w:t>
            </w:r>
          </w:p>
          <w:p>
            <w:pPr>
              <w:spacing w:after="18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Margin analysis</w:t>
            </w:r>
          </w:p>
          <w:p>
            <w:pPr>
              <w:spacing w:after="18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Forecasting</w:t>
            </w:r>
          </w:p>
          <w:p>
            <w:pPr>
              <w:spacing w:after="18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Business cases</w:t>
            </w:r>
          </w:p>
          <w:p>
            <w:pPr>
              <w:spacing w:after="18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Internal controls</w:t>
            </w:r>
          </w:p>
          <w:p>
            <w:pPr>
              <w:spacing w:before="10" w:after="80" w:line="240" w:lineRule="auto"/>
              <w:pBdr>
                <w:bottom w:val="single" w:sz="5" w:space="1" w:color="64C4B2"/>
              </w:pBdr>
            </w:pPr>
          </w:p>
          <w:p>
            <w:pPr>
              <w:spacing w:before="10" w:after="44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TOOLS</w:t>
            </w:r>
          </w:p>
          <w:p>
            <w:pPr>
              <w:spacing w:after="19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Excel</w:t>
            </w:r>
          </w:p>
          <w:p>
            <w:pPr>
              <w:spacing w:after="19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Power BI</w:t>
            </w:r>
          </w:p>
          <w:p>
            <w:pPr>
              <w:spacing w:after="19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NetSuite</w:t>
            </w:r>
          </w:p>
          <w:p>
            <w:pPr>
              <w:spacing w:before="10" w:after="80" w:line="240" w:lineRule="auto"/>
              <w:pBdr>
                <w:bottom w:val="single" w:sz="5" w:space="1" w:color="64C4B2"/>
              </w:pBdr>
            </w:pPr>
          </w:p>
          <w:p>
            <w:pPr>
              <w:spacing w:before="10" w:after="44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TALEN</w:t>
            </w:r>
          </w:p>
          <w:p>
            <w:pPr>
              <w:spacing w:after="19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Nederlands</w:t>
            </w: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 xml:space="preserve"> - Moedertaal</w:t>
            </w:r>
          </w:p>
          <w:p>
            <w:pPr>
              <w:spacing w:after="19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Engels</w:t>
            </w: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 xml:space="preserve"> - Vloeiend</w:t>
            </w:r>
          </w:p>
          <w:p>
            <w:pPr>
              <w:spacing w:before="10" w:after="80" w:line="240" w:lineRule="auto"/>
              <w:pBdr>
                <w:bottom w:val="single" w:sz="5" w:space="1" w:color="64C4B2"/>
              </w:pBdr>
            </w:pPr>
          </w:p>
          <w:p>
            <w:pPr>
              <w:spacing w:before="10" w:after="44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BESCHIKBAARHEID</w:t>
            </w:r>
          </w:p>
          <w:p>
            <w:pPr>
              <w:spacing w:after="19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36 uur</w:t>
            </w:r>
          </w:p>
          <w:p>
            <w:pPr>
              <w:spacing w:after="19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Circa 25 km van Amersfoort</w:t>
            </w:r>
          </w:p>
          <w:p>
            <w:pPr>
              <w:spacing w:after="19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Hybride inzetbaar</w:t>
            </w:r>
          </w:p>
        </w:tc>
        <w:tc>
          <w:tcPr>
            <w:tcW w:type="dxa" w:w="7690"/>
            <w:vAlign w:val="top"/>
            <w:shd w:fill="FFFFFF"/>
            <w:tcMar>
              <w:top w:w="110" w:type="dxa"/>
              <w:start w:w="155" w:type="dxa"/>
              <w:bottom w:w="80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3C51"/>
                <w:sz w:val="37"/>
              </w:rPr>
              <w:t>Kandidaat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095D1"/>
                <w:sz w:val="19"/>
              </w:rPr>
              <w:t>Business Controller</w:t>
            </w:r>
          </w:p>
          <w:p>
            <w:pPr>
              <w:spacing w:before="10" w:after="44"/>
            </w:pPr>
            <w:r>
              <w:rPr>
                <w:rFonts w:ascii="Arial" w:hAnsi="Arial"/>
                <w:b/>
                <w:i w:val="0"/>
                <w:color w:val="1B3C51"/>
                <w:sz w:val="18"/>
              </w:rPr>
              <w:t>PROFIEL</w:t>
            </w:r>
          </w:p>
          <w:p>
            <w:pPr>
              <w:spacing w:after="18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7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7"/>
              </w:rPr>
              <w:t>Business Controller met 6+ jaar ervaring in snelgroeiende commerciële organisaties en internationale scale-up omgevingen.</w:t>
            </w:r>
          </w:p>
          <w:p>
            <w:pPr>
              <w:spacing w:after="18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7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7"/>
              </w:rPr>
              <w:t>Sterk in KPI's, marges, forecasts en businesscases en gewend financiële inzichten direct te koppelen aan commerciële besluitvorming.</w:t>
            </w:r>
          </w:p>
          <w:p>
            <w:pPr>
              <w:spacing w:after="18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7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7"/>
              </w:rPr>
              <w:t>Combineert business partnering met hands-on ervaring in maandafsluiting, controls, auditondersteuning en procesverbetering.</w:t>
            </w:r>
          </w:p>
          <w:p>
            <w:pPr>
              <w:spacing w:before="10" w:after="64" w:line="240" w:lineRule="auto"/>
              <w:pBdr>
                <w:bottom w:val="single" w:sz="5" w:space="1" w:color="A7D9CF"/>
              </w:pBdr>
            </w:pPr>
          </w:p>
          <w:p>
            <w:pPr>
              <w:spacing w:before="10" w:after="44"/>
              <w:shd w:fill="EAF7F4"/>
            </w:pPr>
            <w:r>
              <w:rPr>
                <w:rFonts w:ascii="Arial" w:hAnsi="Arial"/>
                <w:b/>
                <w:i w:val="0"/>
                <w:color w:val="E27D2B"/>
                <w:sz w:val="18"/>
              </w:rPr>
              <w:t>MATCH MET SENIOR CONTROLLER - LEASE A BIKE</w:t>
            </w:r>
          </w:p>
          <w:p>
            <w:pPr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6+ jaar relevante controlervaring</w:t>
            </w:r>
          </w:p>
          <w:p>
            <w:pPr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Business partnering met commercie</w:t>
            </w:r>
          </w:p>
          <w:p>
            <w:pPr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KPI-, marge- en rendementsanalyse</w:t>
            </w:r>
          </w:p>
          <w:p>
            <w:pPr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Rolling forecast &amp; budgettering</w:t>
            </w:r>
          </w:p>
          <w:p>
            <w:pPr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Businesscases &amp; scenarioanalyse</w:t>
            </w:r>
          </w:p>
          <w:p>
            <w:pPr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Financial control &amp; audit support</w:t>
            </w:r>
          </w:p>
          <w:p>
            <w:pPr>
              <w:spacing w:before="10" w:after="64" w:line="240" w:lineRule="auto"/>
              <w:pBdr>
                <w:bottom w:val="single" w:sz="5" w:space="1" w:color="A7D9CF"/>
              </w:pBdr>
            </w:pPr>
          </w:p>
          <w:p>
            <w:pPr>
              <w:spacing w:before="10" w:after="44"/>
            </w:pPr>
            <w:r>
              <w:rPr>
                <w:rFonts w:ascii="Arial" w:hAnsi="Arial"/>
                <w:b/>
                <w:i w:val="0"/>
                <w:color w:val="1B3C51"/>
                <w:sz w:val="18"/>
              </w:rPr>
              <w:t>WERKERVARING</w:t>
            </w:r>
          </w:p>
          <w:p>
            <w:pPr>
              <w:spacing w:after="5"/>
            </w:pPr>
            <w:r>
              <w:rPr>
                <w:rFonts w:ascii="Arial" w:hAnsi="Arial"/>
                <w:b/>
                <w:i w:val="0"/>
                <w:color w:val="1B3C51"/>
                <w:sz w:val="17"/>
              </w:rPr>
              <w:t>Business Controller</w:t>
            </w:r>
            <w:r>
              <w:rPr>
                <w:rFonts w:ascii="Arial" w:hAnsi="Arial"/>
                <w:b w:val="0"/>
                <w:i w:val="0"/>
                <w:color w:val="6A7882"/>
                <w:sz w:val="15"/>
              </w:rPr>
              <w:t xml:space="preserve">  2022 - heden</w:t>
            </w:r>
          </w:p>
          <w:p>
            <w:pPr>
              <w:spacing w:after="15"/>
            </w:pPr>
            <w:r>
              <w:rPr>
                <w:rFonts w:ascii="Arial" w:hAnsi="Arial"/>
                <w:b/>
                <w:i w:val="0"/>
                <w:color w:val="009076"/>
                <w:sz w:val="15"/>
              </w:rPr>
              <w:t>UrbanRide Commerce B.V. - Hilversum</w:t>
            </w:r>
          </w:p>
          <w:p>
            <w:pPr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Financiële sparringpartner voor commercie, operations en country management binnen een Europese scale-up.</w:t>
            </w:r>
          </w:p>
          <w:p>
            <w:pPr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Ontwikkelde wekelijkse KPI-set voor omzet, conversie, brutomarge, churn en klantacquisitiekosten.</w:t>
            </w:r>
          </w:p>
          <w:p>
            <w:pPr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Leidt rolling forecast en kwartaalplanning en vertaalt commerciële pipeline naar financiële scenario's.</w:t>
            </w:r>
          </w:p>
          <w:p>
            <w:pPr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Berekent businesscases voor nieuwe proposities, partnerships en marktintroducties.</w:t>
            </w:r>
          </w:p>
          <w:p>
            <w:pPr>
              <w:spacing w:after="9"/>
            </w:pPr>
          </w:p>
          <w:p>
            <w:pPr>
              <w:spacing w:after="5"/>
            </w:pPr>
            <w:r>
              <w:rPr>
                <w:rFonts w:ascii="Arial" w:hAnsi="Arial"/>
                <w:b/>
                <w:i w:val="0"/>
                <w:color w:val="1B3C51"/>
                <w:sz w:val="17"/>
              </w:rPr>
              <w:t>Controller</w:t>
            </w:r>
            <w:r>
              <w:rPr>
                <w:rFonts w:ascii="Arial" w:hAnsi="Arial"/>
                <w:b w:val="0"/>
                <w:i w:val="0"/>
                <w:color w:val="6A7882"/>
                <w:sz w:val="15"/>
              </w:rPr>
              <w:t xml:space="preserve">  2020 - 2022</w:t>
            </w:r>
          </w:p>
          <w:p>
            <w:pPr>
              <w:spacing w:after="15"/>
            </w:pPr>
            <w:r>
              <w:rPr>
                <w:rFonts w:ascii="Arial" w:hAnsi="Arial"/>
                <w:b/>
                <w:i w:val="0"/>
                <w:color w:val="009076"/>
                <w:sz w:val="15"/>
              </w:rPr>
              <w:t>NovaTech Retail Group B.V. - Almere</w:t>
            </w:r>
          </w:p>
          <w:p>
            <w:pPr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Verzorgde maandrapportage, forecast en budget voor e-commerce en winkels in Nederland.</w:t>
            </w:r>
          </w:p>
          <w:p>
            <w:pPr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Analyseerde marges, prijs/mix-effecten en promotierendement en adviseerde category management.</w:t>
            </w:r>
          </w:p>
          <w:p>
            <w:pPr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Verbeterde processen voor voorraadvoorzieningen, bonusaccruals en controle op omzetboekingen.</w:t>
            </w:r>
          </w:p>
          <w:p>
            <w:pPr>
              <w:spacing w:after="9"/>
            </w:pPr>
          </w:p>
          <w:p>
            <w:pPr>
              <w:spacing w:after="5"/>
            </w:pPr>
            <w:r>
              <w:rPr>
                <w:rFonts w:ascii="Arial" w:hAnsi="Arial"/>
                <w:b/>
                <w:i w:val="0"/>
                <w:color w:val="1B3C51"/>
                <w:sz w:val="17"/>
              </w:rPr>
              <w:t>Junior Business Controller</w:t>
            </w:r>
            <w:r>
              <w:rPr>
                <w:rFonts w:ascii="Arial" w:hAnsi="Arial"/>
                <w:b w:val="0"/>
                <w:i w:val="0"/>
                <w:color w:val="6A7882"/>
                <w:sz w:val="15"/>
              </w:rPr>
              <w:t xml:space="preserve">  2018 - 2020</w:t>
            </w:r>
          </w:p>
          <w:p>
            <w:pPr>
              <w:spacing w:after="15"/>
            </w:pPr>
            <w:r>
              <w:rPr>
                <w:rFonts w:ascii="Arial" w:hAnsi="Arial"/>
                <w:b/>
                <w:i w:val="0"/>
                <w:color w:val="009076"/>
                <w:sz w:val="15"/>
              </w:rPr>
              <w:t>Connect Services B.V. - Amsterdam</w:t>
            </w:r>
          </w:p>
          <w:p>
            <w:pPr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Maakte maandelijkse rapportages en analyses voor twee business units.</w:t>
            </w:r>
          </w:p>
          <w:p>
            <w:pPr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Ondersteunde budgettering, forecasts en ad-hoc analyses voor management.</w:t>
            </w:r>
          </w:p>
          <w:p>
            <w:pPr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Bouwde Excel-modellen voor headcount, omzet en projectmarges.</w:t>
            </w:r>
          </w:p>
          <w:p>
            <w:pPr>
              <w:spacing w:before="10" w:after="62" w:line="240" w:lineRule="auto"/>
              <w:pBdr>
                <w:bottom w:val="single" w:sz="5" w:space="1" w:color="A7D9CF"/>
              </w:pBdr>
            </w:pPr>
          </w:p>
          <w:p>
            <w:pPr>
              <w:spacing w:before="10" w:after="44"/>
            </w:pPr>
            <w:r>
              <w:rPr>
                <w:rFonts w:ascii="Arial" w:hAnsi="Arial"/>
                <w:b/>
                <w:i w:val="0"/>
                <w:color w:val="1B3C51"/>
                <w:sz w:val="17"/>
              </w:rPr>
              <w:t>GESELECTEERDE RESULTATEN</w:t>
            </w:r>
          </w:p>
          <w:p>
            <w:pPr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Wekelijkse commerciële KPI-set opgezet voor snellere besluitvorming.</w:t>
            </w:r>
          </w:p>
          <w:p>
            <w:pPr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Rolling forecast gekoppeld aan commerciële pipeline en scenario's.</w:t>
            </w:r>
          </w:p>
          <w:p>
            <w:pPr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Businesscases voor proposities en partnerships financieel doorgerekend.</w:t>
            </w:r>
          </w:p>
          <w:p>
            <w:pPr>
              <w:spacing w:before="10" w:after="44"/>
            </w:pPr>
            <w:r>
              <w:rPr>
                <w:rFonts w:ascii="Arial" w:hAnsi="Arial"/>
                <w:b/>
                <w:i w:val="0"/>
                <w:color w:val="1B3C51"/>
                <w:sz w:val="17"/>
              </w:rPr>
              <w:t>CONTROL &amp; COMPLIANCE</w:t>
            </w:r>
          </w:p>
          <w:p>
            <w:pPr>
              <w:spacing w:after="11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Ondersteunt maandafsluiting met accruals, omzet-cut-off en managementreview.</w:t>
            </w:r>
          </w:p>
          <w:p>
            <w:pPr>
              <w:spacing w:after="11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Ervaring met Dutch GAAP-auditondersteuning, voorzieningen en omzetcontroles.</w:t>
            </w:r>
          </w:p>
          <w:p>
            <w:pPr>
              <w:spacing w:before="10" w:after="56" w:line="240" w:lineRule="auto"/>
              <w:pBdr>
                <w:bottom w:val="single" w:sz="5" w:space="1" w:color="A7D9CF"/>
              </w:pBdr>
            </w:pPr>
          </w:p>
          <w:p>
            <w:pPr>
              <w:spacing w:before="10" w:after="44"/>
            </w:pPr>
            <w:r>
              <w:rPr>
                <w:rFonts w:ascii="Arial" w:hAnsi="Arial"/>
                <w:b/>
                <w:i w:val="0"/>
                <w:color w:val="1B3C51"/>
                <w:sz w:val="17"/>
              </w:rPr>
              <w:t>OPLEIDING &amp; TRAINING</w:t>
            </w:r>
          </w:p>
          <w:p>
            <w:pPr>
              <w:spacing w:after="11"/>
            </w:pPr>
            <w:r>
              <w:rPr>
                <w:rFonts w:ascii="Arial" w:hAnsi="Arial"/>
                <w:b/>
                <w:i w:val="0"/>
                <w:color w:val="203550"/>
                <w:sz w:val="16"/>
              </w:rPr>
              <w:t>MSc Business Administration - Financial Management</w:t>
            </w:r>
            <w:r>
              <w:rPr>
                <w:rFonts w:ascii="Arial" w:hAnsi="Arial"/>
                <w:b w:val="0"/>
                <w:i w:val="0"/>
                <w:color w:val="6A7882"/>
                <w:sz w:val="15"/>
              </w:rPr>
              <w:t xml:space="preserve"> - Vrije Universiteit Amsterdam | 2016 - 2018</w:t>
            </w:r>
          </w:p>
          <w:p>
            <w:pPr>
              <w:spacing w:after="11"/>
            </w:pPr>
            <w:r>
              <w:rPr>
                <w:rFonts w:ascii="Arial" w:hAnsi="Arial"/>
                <w:b/>
                <w:i w:val="0"/>
                <w:color w:val="203550"/>
                <w:sz w:val="16"/>
              </w:rPr>
              <w:t>BSc Bedrijfskunde</w:t>
            </w:r>
            <w:r>
              <w:rPr>
                <w:rFonts w:ascii="Arial" w:hAnsi="Arial"/>
                <w:b w:val="0"/>
                <w:i w:val="0"/>
                <w:color w:val="6A7882"/>
                <w:sz w:val="15"/>
              </w:rPr>
              <w:t xml:space="preserve"> - Universiteit van Amsterdam | 2013 - 2016</w:t>
            </w:r>
          </w:p>
          <w:p>
            <w:pPr>
              <w:spacing w:after="9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5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5"/>
              </w:rPr>
              <w:t>Power BI Data Analyst fundamentals</w:t>
            </w:r>
          </w:p>
          <w:p>
            <w:pPr>
              <w:spacing w:after="9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5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5"/>
              </w:rPr>
              <w:t>Finance Business Partnering - interne opleiding</w:t>
            </w:r>
          </w:p>
          <w:p>
            <w:pPr>
              <w:spacing w:before="10" w:after="44"/>
            </w:pPr>
            <w:r>
              <w:rPr>
                <w:rFonts w:ascii="Arial" w:hAnsi="Arial"/>
                <w:b/>
                <w:i w:val="0"/>
                <w:color w:val="1B3C51"/>
                <w:sz w:val="17"/>
              </w:rPr>
              <w:t>BESCHIKBAARHEID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6A7882"/>
                <w:sz w:val="15"/>
              </w:rPr>
              <w:t>36 uur | Circa 25 km van Amersfoort | Hybride inzetbaar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i w:val="0"/>
          <w:color w:val="FFFFFF"/>
          <w:sz w:val="2"/>
        </w:rPr>
        <w:t xml:space="preserve"> </w:t>
      </w:r>
    </w:p>
    <w:sectPr w:rsidR="00FC693F" w:rsidRPr="0006063C" w:rsidSect="00034616">
      <w:footerReference w:type="default" r:id="rId9"/>
      <w:pgSz w:w="11909" w:h="16834"/>
      <w:pgMar w:top="432" w:right="490" w:bottom="432" w:left="490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