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50"/>
        <w:gridCol w:w="7690"/>
      </w:tblGrid>
      <w:tr>
        <w:trPr>
          <w:trHeight w:val="15048" w:hRule="exact"/>
        </w:trPr>
        <w:tc>
          <w:tcPr>
            <w:tcW w:type="dxa" w:w="2650"/>
            <w:vAlign w:val="top"/>
            <w:shd w:fill="009076"/>
            <w:tcMar>
              <w:top w:w="125" w:type="dxa"/>
              <w:start w:w="135" w:type="dxa"/>
              <w:bottom w:w="100" w:type="dxa"/>
              <w:end w:w="125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FFFFFF"/>
                <w:sz w:val="26"/>
              </w:rPr>
              <w:t>bluefin</w:t>
            </w:r>
          </w:p>
          <w:p>
            <w:pPr>
              <w:spacing w:after="8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Marieke van Dijk</w:t>
            </w:r>
          </w:p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D5F2EB"/>
                <w:sz w:val="16"/>
              </w:rPr>
              <w:t>Senior Controller</w:t>
            </w:r>
          </w:p>
          <w:p>
            <w:pPr>
              <w:keepNext w:val="0"/>
              <w:spacing w:before="20" w:after="5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CONTACT</w:t>
            </w:r>
          </w:p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F1FFFB"/>
                <w:sz w:val="14"/>
              </w:rPr>
              <w:t>Utrecht</w:t>
            </w:r>
          </w:p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F1FFFB"/>
                <w:sz w:val="14"/>
              </w:rPr>
              <w:t>+31 6 41 82 73 90</w:t>
            </w:r>
          </w:p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F1FFFB"/>
                <w:sz w:val="14"/>
              </w:rPr>
              <w:t>marieke.vandijk.demo@example.com</w:t>
            </w:r>
          </w:p>
          <w:p>
            <w:pPr>
              <w:spacing w:after="20" w:line="240" w:lineRule="auto"/>
            </w:pPr>
            <w:r>
              <w:rPr>
                <w:rFonts w:ascii="Arial" w:hAnsi="Arial"/>
                <w:b w:val="0"/>
                <w:i w:val="0"/>
                <w:color w:val="F1FFFB"/>
                <w:sz w:val="14"/>
              </w:rPr>
              <w:t>linkedin.com/in/marieke-vandijk-demo</w:t>
            </w:r>
          </w:p>
          <w:p>
            <w:pPr>
              <w:spacing w:before="20" w:after="80" w:line="240" w:lineRule="auto"/>
              <w:pBdr>
                <w:bottom w:val="single" w:sz="5" w:space="1" w:color="64C4B2"/>
              </w:pBdr>
            </w:pPr>
          </w:p>
          <w:p>
            <w:pPr>
              <w:keepNext w:val="0"/>
              <w:spacing w:before="20" w:after="5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EXPERTISE</w:t>
            </w:r>
          </w:p>
          <w:p>
            <w:pPr>
              <w:spacing w:after="18" w:line="240" w:lineRule="auto"/>
            </w:pPr>
            <w:r>
              <w:rPr>
                <w:rFonts w:ascii="Arial" w:hAnsi="Arial"/>
                <w:b w:val="0"/>
                <w:i w:val="0"/>
                <w:color w:val="F1FFFB"/>
                <w:sz w:val="14"/>
              </w:rPr>
              <w:t>Financial control</w:t>
            </w:r>
          </w:p>
          <w:p>
            <w:pPr>
              <w:spacing w:after="18" w:line="240" w:lineRule="auto"/>
            </w:pPr>
            <w:r>
              <w:rPr>
                <w:rFonts w:ascii="Arial" w:hAnsi="Arial"/>
                <w:b w:val="0"/>
                <w:i w:val="0"/>
                <w:color w:val="F1FFFB"/>
                <w:sz w:val="14"/>
              </w:rPr>
              <w:t>Business control</w:t>
            </w:r>
          </w:p>
          <w:p>
            <w:pPr>
              <w:spacing w:after="18" w:line="240" w:lineRule="auto"/>
            </w:pPr>
            <w:r>
              <w:rPr>
                <w:rFonts w:ascii="Arial" w:hAnsi="Arial"/>
                <w:b w:val="0"/>
                <w:i w:val="0"/>
                <w:color w:val="F1FFFB"/>
                <w:sz w:val="14"/>
              </w:rPr>
              <w:t>Dutch GAAP</w:t>
            </w:r>
          </w:p>
          <w:p>
            <w:pPr>
              <w:spacing w:after="18" w:line="240" w:lineRule="auto"/>
            </w:pPr>
            <w:r>
              <w:rPr>
                <w:rFonts w:ascii="Arial" w:hAnsi="Arial"/>
                <w:b w:val="0"/>
                <w:i w:val="0"/>
                <w:color w:val="F1FFFB"/>
                <w:sz w:val="14"/>
              </w:rPr>
              <w:t>Forecasting</w:t>
            </w:r>
          </w:p>
          <w:p>
            <w:pPr>
              <w:spacing w:after="18" w:line="240" w:lineRule="auto"/>
            </w:pPr>
            <w:r>
              <w:rPr>
                <w:rFonts w:ascii="Arial" w:hAnsi="Arial"/>
                <w:b w:val="0"/>
                <w:i w:val="0"/>
                <w:color w:val="F1FFFB"/>
                <w:sz w:val="14"/>
              </w:rPr>
              <w:t>Management reporting</w:t>
            </w:r>
          </w:p>
          <w:p>
            <w:pPr>
              <w:spacing w:after="18" w:line="240" w:lineRule="auto"/>
            </w:pPr>
            <w:r>
              <w:rPr>
                <w:rFonts w:ascii="Arial" w:hAnsi="Arial"/>
                <w:b w:val="0"/>
                <w:i w:val="0"/>
                <w:color w:val="F1FFFB"/>
                <w:sz w:val="14"/>
              </w:rPr>
              <w:t>KPI-analyse</w:t>
            </w:r>
          </w:p>
          <w:p>
            <w:pPr>
              <w:spacing w:after="18" w:line="240" w:lineRule="auto"/>
            </w:pPr>
            <w:r>
              <w:rPr>
                <w:rFonts w:ascii="Arial" w:hAnsi="Arial"/>
                <w:b w:val="0"/>
                <w:i w:val="0"/>
                <w:color w:val="F1FFFB"/>
                <w:sz w:val="14"/>
              </w:rPr>
              <w:t>Businesscases</w:t>
            </w:r>
          </w:p>
          <w:p>
            <w:pPr>
              <w:spacing w:before="20" w:after="80" w:line="240" w:lineRule="auto"/>
              <w:pBdr>
                <w:bottom w:val="single" w:sz="5" w:space="1" w:color="64C4B2"/>
              </w:pBdr>
            </w:pPr>
          </w:p>
          <w:p>
            <w:pPr>
              <w:keepNext w:val="0"/>
              <w:spacing w:before="20" w:after="5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TOOLS</w:t>
            </w:r>
          </w:p>
          <w:p>
            <w:pPr>
              <w:spacing w:after="19" w:line="240" w:lineRule="auto"/>
            </w:pPr>
            <w:r>
              <w:rPr>
                <w:rFonts w:ascii="Arial" w:hAnsi="Arial"/>
                <w:b w:val="0"/>
                <w:i w:val="0"/>
                <w:color w:val="F1FFFB"/>
                <w:sz w:val="14"/>
              </w:rPr>
              <w:t>Excel</w:t>
            </w:r>
          </w:p>
          <w:p>
            <w:pPr>
              <w:spacing w:after="19" w:line="240" w:lineRule="auto"/>
            </w:pPr>
            <w:r>
              <w:rPr>
                <w:rFonts w:ascii="Arial" w:hAnsi="Arial"/>
                <w:b w:val="0"/>
                <w:i w:val="0"/>
                <w:color w:val="F1FFFB"/>
                <w:sz w:val="14"/>
              </w:rPr>
              <w:t>Power BI</w:t>
            </w:r>
          </w:p>
          <w:p>
            <w:pPr>
              <w:spacing w:after="19" w:line="240" w:lineRule="auto"/>
            </w:pPr>
            <w:r>
              <w:rPr>
                <w:rFonts w:ascii="Arial" w:hAnsi="Arial"/>
                <w:b w:val="0"/>
                <w:i w:val="0"/>
                <w:color w:val="F1FFFB"/>
                <w:sz w:val="14"/>
              </w:rPr>
              <w:t>SAP S/4HANA</w:t>
            </w:r>
          </w:p>
          <w:p>
            <w:pPr>
              <w:spacing w:before="20" w:after="80" w:line="240" w:lineRule="auto"/>
              <w:pBdr>
                <w:bottom w:val="single" w:sz="5" w:space="1" w:color="64C4B2"/>
              </w:pBdr>
            </w:pPr>
          </w:p>
          <w:p>
            <w:pPr>
              <w:keepNext w:val="0"/>
              <w:spacing w:before="20" w:after="5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TALEN</w:t>
            </w:r>
          </w:p>
          <w:p>
            <w:pPr>
              <w:spacing w:after="19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Nederlands</w:t>
            </w:r>
            <w:r>
              <w:rPr>
                <w:rFonts w:ascii="Arial" w:hAnsi="Arial"/>
                <w:b w:val="0"/>
                <w:i w:val="0"/>
                <w:color w:val="F1FFFB"/>
                <w:sz w:val="14"/>
              </w:rPr>
              <w:t xml:space="preserve"> - Moedertaal</w:t>
            </w:r>
          </w:p>
          <w:p>
            <w:pPr>
              <w:spacing w:after="19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Engels</w:t>
            </w:r>
            <w:r>
              <w:rPr>
                <w:rFonts w:ascii="Arial" w:hAnsi="Arial"/>
                <w:b w:val="0"/>
                <w:i w:val="0"/>
                <w:color w:val="F1FFFB"/>
                <w:sz w:val="14"/>
              </w:rPr>
              <w:t xml:space="preserve"> - Vloeiend</w:t>
            </w:r>
          </w:p>
          <w:p>
            <w:pPr>
              <w:spacing w:before="20" w:after="80" w:line="240" w:lineRule="auto"/>
              <w:pBdr>
                <w:bottom w:val="single" w:sz="5" w:space="1" w:color="64C4B2"/>
              </w:pBdr>
            </w:pPr>
          </w:p>
          <w:p>
            <w:pPr>
              <w:keepNext w:val="0"/>
              <w:spacing w:before="20" w:after="5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BESCHIKBAARHEID</w:t>
            </w:r>
          </w:p>
          <w:p>
            <w:pPr>
              <w:spacing w:after="19" w:line="240" w:lineRule="auto"/>
            </w:pPr>
            <w:r>
              <w:rPr>
                <w:rFonts w:ascii="Arial" w:hAnsi="Arial"/>
                <w:b w:val="0"/>
                <w:i w:val="0"/>
                <w:color w:val="F1FFFB"/>
                <w:sz w:val="14"/>
              </w:rPr>
              <w:t>36-40 uur</w:t>
            </w:r>
          </w:p>
          <w:p>
            <w:pPr>
              <w:spacing w:after="19" w:line="240" w:lineRule="auto"/>
            </w:pPr>
            <w:r>
              <w:rPr>
                <w:rFonts w:ascii="Arial" w:hAnsi="Arial"/>
                <w:b w:val="0"/>
                <w:i w:val="0"/>
                <w:color w:val="F1FFFB"/>
                <w:sz w:val="14"/>
              </w:rPr>
              <w:t>Hybride werken</w:t>
            </w:r>
          </w:p>
          <w:p>
            <w:pPr>
              <w:spacing w:after="19" w:line="240" w:lineRule="auto"/>
            </w:pPr>
            <w:r>
              <w:rPr>
                <w:rFonts w:ascii="Arial" w:hAnsi="Arial"/>
                <w:b w:val="0"/>
                <w:i w:val="0"/>
                <w:color w:val="F1FFFB"/>
                <w:sz w:val="14"/>
              </w:rPr>
              <w:t>Regio Utrecht / Amersfoort</w:t>
            </w:r>
          </w:p>
        </w:tc>
        <w:tc>
          <w:tcPr>
            <w:tcW w:type="dxa" w:w="7690"/>
            <w:vAlign w:val="top"/>
            <w:shd w:fill="FFFFFF"/>
            <w:tcMar>
              <w:top w:w="110" w:type="dxa"/>
              <w:start w:w="155" w:type="dxa"/>
              <w:bottom w:w="80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3C51"/>
                <w:sz w:val="37"/>
              </w:rPr>
              <w:t>Marieke van Dijk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i w:val="0"/>
                <w:color w:val="0095D1"/>
                <w:sz w:val="19"/>
              </w:rPr>
              <w:t>Senior Controller</w:t>
            </w:r>
          </w:p>
          <w:p>
            <w:pPr>
              <w:keepNext w:val="0"/>
              <w:spacing w:before="20" w:after="50"/>
            </w:pPr>
            <w:r>
              <w:rPr>
                <w:rFonts w:ascii="Arial" w:hAnsi="Arial"/>
                <w:b/>
                <w:i w:val="0"/>
                <w:color w:val="1B3C51"/>
                <w:sz w:val="18"/>
              </w:rPr>
              <w:t>PROFIEL</w:t>
            </w:r>
          </w:p>
          <w:p>
            <w:pPr>
              <w:keepNext w:val="0"/>
              <w:keepLines w:val="0"/>
              <w:spacing w:after="18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7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7"/>
              </w:rPr>
              <w:t>Senior Controller met 8+ jaar ervaring in financial control en business control binnen internationale groeiorganisaties.</w:t>
            </w:r>
          </w:p>
          <w:p>
            <w:pPr>
              <w:keepNext w:val="0"/>
              <w:keepLines w:val="0"/>
              <w:spacing w:after="18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7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7"/>
              </w:rPr>
              <w:t>Combineert betrouwbare afsluitingen en rapportages met scherpe analyses van omzet, marge, KPI's en forecasts.</w:t>
            </w:r>
          </w:p>
          <w:p>
            <w:pPr>
              <w:keepNext w:val="0"/>
              <w:keepLines w:val="0"/>
              <w:spacing w:after="18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7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7"/>
              </w:rPr>
              <w:t>Ervaren sparringpartner voor management en commercie, met een sterke basis in Dutch GAAP, audit en procesverbetering.</w:t>
            </w:r>
          </w:p>
          <w:p>
            <w:pPr>
              <w:spacing w:before="20" w:after="64" w:line="240" w:lineRule="auto"/>
              <w:pBdr>
                <w:bottom w:val="single" w:sz="5" w:space="1" w:color="A7D9CF"/>
              </w:pBdr>
            </w:pPr>
          </w:p>
          <w:p>
            <w:pPr>
              <w:keepNext w:val="0"/>
              <w:spacing w:before="20" w:after="50"/>
              <w:shd w:fill="EAF7F4"/>
            </w:pPr>
            <w:r>
              <w:rPr>
                <w:rFonts w:ascii="Arial" w:hAnsi="Arial"/>
                <w:b/>
                <w:i w:val="0"/>
                <w:color w:val="E27D2B"/>
                <w:sz w:val="18"/>
              </w:rPr>
              <w:t>MATCH MET SENIOR CONTROLLER - LEASE A BIKE</w:t>
            </w:r>
          </w:p>
          <w:p>
            <w:pPr>
              <w:keepNext w:val="0"/>
              <w:keepLines w:val="0"/>
              <w:spacing w:after="12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6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6"/>
              </w:rPr>
              <w:t>8+ jaar relevante controlervaring</w:t>
            </w:r>
          </w:p>
          <w:p>
            <w:pPr>
              <w:keepNext w:val="0"/>
              <w:keepLines w:val="0"/>
              <w:spacing w:after="12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6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6"/>
              </w:rPr>
              <w:t>Financial én business control</w:t>
            </w:r>
          </w:p>
          <w:p>
            <w:pPr>
              <w:keepNext w:val="0"/>
              <w:keepLines w:val="0"/>
              <w:spacing w:after="12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6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6"/>
              </w:rPr>
              <w:t>Dutch GAAP &amp; audit</w:t>
            </w:r>
          </w:p>
          <w:p>
            <w:pPr>
              <w:keepNext w:val="0"/>
              <w:keepLines w:val="0"/>
              <w:spacing w:after="12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6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6"/>
              </w:rPr>
              <w:t>Budgettering en rolling forecast</w:t>
            </w:r>
          </w:p>
          <w:p>
            <w:pPr>
              <w:keepNext w:val="0"/>
              <w:keepLines w:val="0"/>
              <w:spacing w:after="12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6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6"/>
              </w:rPr>
              <w:t>KPI-, marge- en rendementsanalyse</w:t>
            </w:r>
          </w:p>
          <w:p>
            <w:pPr>
              <w:keepNext w:val="0"/>
              <w:keepLines w:val="0"/>
              <w:spacing w:after="12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6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6"/>
              </w:rPr>
              <w:t>Businesscases en managementadvies</w:t>
            </w:r>
          </w:p>
          <w:p>
            <w:pPr>
              <w:spacing w:before="20" w:after="64" w:line="240" w:lineRule="auto"/>
              <w:pBdr>
                <w:bottom w:val="single" w:sz="5" w:space="1" w:color="A7D9CF"/>
              </w:pBdr>
            </w:pPr>
          </w:p>
          <w:p>
            <w:pPr>
              <w:keepNext w:val="0"/>
              <w:spacing w:before="20" w:after="50"/>
            </w:pPr>
            <w:r>
              <w:rPr>
                <w:rFonts w:ascii="Arial" w:hAnsi="Arial"/>
                <w:b/>
                <w:i w:val="0"/>
                <w:color w:val="1B3C51"/>
                <w:sz w:val="18"/>
              </w:rPr>
              <w:t>WERKERVARING</w:t>
            </w:r>
          </w:p>
          <w:p>
            <w:pPr>
              <w:spacing w:after="5"/>
            </w:pPr>
            <w:r>
              <w:rPr>
                <w:rFonts w:ascii="Arial" w:hAnsi="Arial"/>
                <w:b/>
                <w:i w:val="0"/>
                <w:color w:val="1B3C51"/>
                <w:sz w:val="17"/>
              </w:rPr>
              <w:t>Senior Controller</w:t>
            </w:r>
            <w:r>
              <w:rPr>
                <w:rFonts w:ascii="Arial" w:hAnsi="Arial"/>
                <w:b w:val="0"/>
                <w:i w:val="0"/>
                <w:color w:val="6A7882"/>
                <w:sz w:val="15"/>
              </w:rPr>
              <w:t xml:space="preserve">  2022 - heden</w:t>
            </w:r>
          </w:p>
          <w:p>
            <w:pPr>
              <w:spacing w:after="15"/>
            </w:pPr>
            <w:r>
              <w:rPr>
                <w:rFonts w:ascii="Arial" w:hAnsi="Arial"/>
                <w:b/>
                <w:i w:val="0"/>
                <w:color w:val="009076"/>
                <w:sz w:val="15"/>
              </w:rPr>
              <w:t>Velora Mobility Europe B.V. - Utrecht</w:t>
            </w:r>
          </w:p>
          <w:p>
            <w:pPr>
              <w:keepNext w:val="0"/>
              <w:keepLines w:val="0"/>
              <w:spacing w:after="12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6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6"/>
              </w:rPr>
              <w:t>Verantwoordelijk voor maand-, kwartaal- en jaarafsluitingen van de Nederlandse entiteit binnen een internationale mobiliteitsgroep.</w:t>
            </w:r>
          </w:p>
          <w:p>
            <w:pPr>
              <w:keepNext w:val="0"/>
              <w:keepLines w:val="0"/>
              <w:spacing w:after="12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6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6"/>
              </w:rPr>
              <w:t>Verbetert managementrapportages voor directie en commerciële teams, inclusief omzet-, marge- en KPI-analyses.</w:t>
            </w:r>
          </w:p>
          <w:p>
            <w:pPr>
              <w:keepNext w:val="0"/>
              <w:keepLines w:val="0"/>
              <w:spacing w:after="12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6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6"/>
              </w:rPr>
              <w:t>Coördineert budgetcyclus en rolling forecast en bespreekt afwijkingen, scenario's en acties met budgethouders.</w:t>
            </w:r>
          </w:p>
          <w:p>
            <w:pPr>
              <w:keepNext w:val="0"/>
              <w:keepLines w:val="0"/>
              <w:spacing w:after="12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6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6"/>
              </w:rPr>
              <w:t>Bouwt rendementsmodellen voor nieuwe proposities en adviseert management over pricing en investeringsbesluiten.</w:t>
            </w:r>
          </w:p>
          <w:p>
            <w:pPr>
              <w:spacing w:after="9"/>
            </w:pPr>
          </w:p>
          <w:p>
            <w:pPr>
              <w:spacing w:after="5"/>
            </w:pPr>
            <w:r>
              <w:rPr>
                <w:rFonts w:ascii="Arial" w:hAnsi="Arial"/>
                <w:b/>
                <w:i w:val="0"/>
                <w:color w:val="1B3C51"/>
                <w:sz w:val="17"/>
              </w:rPr>
              <w:t>Business Controller</w:t>
            </w:r>
            <w:r>
              <w:rPr>
                <w:rFonts w:ascii="Arial" w:hAnsi="Arial"/>
                <w:b w:val="0"/>
                <w:i w:val="0"/>
                <w:color w:val="6A7882"/>
                <w:sz w:val="15"/>
              </w:rPr>
              <w:t xml:space="preserve">  2019 - 2022</w:t>
            </w:r>
          </w:p>
          <w:p>
            <w:pPr>
              <w:spacing w:after="15"/>
            </w:pPr>
            <w:r>
              <w:rPr>
                <w:rFonts w:ascii="Arial" w:hAnsi="Arial"/>
                <w:b/>
                <w:i w:val="0"/>
                <w:color w:val="009076"/>
                <w:sz w:val="15"/>
              </w:rPr>
              <w:t>GreenFleet Services N.V. - Nieuwegein</w:t>
            </w:r>
          </w:p>
          <w:p>
            <w:pPr>
              <w:keepNext w:val="0"/>
              <w:keepLines w:val="0"/>
              <w:spacing w:after="12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6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6"/>
              </w:rPr>
              <w:t>Businesspartner voor sales en operations met maandelijkse analyse van volume, omzet, brutomarge en klantprofitability.</w:t>
            </w:r>
          </w:p>
          <w:p>
            <w:pPr>
              <w:keepNext w:val="0"/>
              <w:keepLines w:val="0"/>
              <w:spacing w:after="12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6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6"/>
              </w:rPr>
              <w:t>Introduceerde een maandelijkse rolling forecast en verbeterde de voorspelbaarheid van commerciële resultaten.</w:t>
            </w:r>
          </w:p>
          <w:p>
            <w:pPr>
              <w:keepNext w:val="0"/>
              <w:keepLines w:val="0"/>
              <w:spacing w:after="12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6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6"/>
              </w:rPr>
              <w:t>Ontwikkelde Power BI-stuurinformatie en ondersteunde businesscases voor nieuwe diensten en regio's.</w:t>
            </w:r>
          </w:p>
          <w:p>
            <w:pPr>
              <w:spacing w:after="9"/>
            </w:pPr>
          </w:p>
          <w:p>
            <w:pPr>
              <w:spacing w:after="5"/>
            </w:pPr>
            <w:r>
              <w:rPr>
                <w:rFonts w:ascii="Arial" w:hAnsi="Arial"/>
                <w:b/>
                <w:i w:val="0"/>
                <w:color w:val="1B3C51"/>
                <w:sz w:val="17"/>
              </w:rPr>
              <w:t>Financial Controller</w:t>
            </w:r>
            <w:r>
              <w:rPr>
                <w:rFonts w:ascii="Arial" w:hAnsi="Arial"/>
                <w:b w:val="0"/>
                <w:i w:val="0"/>
                <w:color w:val="6A7882"/>
                <w:sz w:val="15"/>
              </w:rPr>
              <w:t xml:space="preserve">  2016 - 2019</w:t>
            </w:r>
          </w:p>
          <w:p>
            <w:pPr>
              <w:spacing w:after="15"/>
            </w:pPr>
            <w:r>
              <w:rPr>
                <w:rFonts w:ascii="Arial" w:hAnsi="Arial"/>
                <w:b/>
                <w:i w:val="0"/>
                <w:color w:val="009076"/>
                <w:sz w:val="15"/>
              </w:rPr>
              <w:t>Nordex Consumer Finance B.V. - Amersfoort</w:t>
            </w:r>
          </w:p>
          <w:p>
            <w:pPr>
              <w:keepNext w:val="0"/>
              <w:keepLines w:val="0"/>
              <w:spacing w:after="12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6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6"/>
              </w:rPr>
              <w:t>Reviewde balansspecificaties, accruals, intercompany-aansluitingen en maandafsluiting.</w:t>
            </w:r>
          </w:p>
          <w:p>
            <w:pPr>
              <w:keepNext w:val="0"/>
              <w:keepLines w:val="0"/>
              <w:spacing w:after="12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6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6"/>
              </w:rPr>
              <w:t>Ondersteunde Dutch GAAP-jaarrekening, auditplanning en financiële rapportages.</w:t>
            </w:r>
          </w:p>
          <w:p>
            <w:pPr>
              <w:keepNext w:val="0"/>
              <w:keepLines w:val="0"/>
              <w:spacing w:after="12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6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6"/>
              </w:rPr>
              <w:t>Automatiseerde periodieke rapportages in Excel en verkortte de maandafsluiting met twee werkdagen.</w:t>
            </w:r>
          </w:p>
          <w:p>
            <w:pPr>
              <w:spacing w:before="20" w:after="62" w:line="240" w:lineRule="auto"/>
              <w:pBdr>
                <w:bottom w:val="single" w:sz="5" w:space="1" w:color="A7D9CF"/>
              </w:pBdr>
            </w:pPr>
          </w:p>
          <w:p>
            <w:pPr>
              <w:keepNext w:val="0"/>
              <w:spacing w:before="20" w:after="50"/>
            </w:pPr>
            <w:r>
              <w:rPr>
                <w:rFonts w:ascii="Arial" w:hAnsi="Arial"/>
                <w:b/>
                <w:i w:val="0"/>
                <w:color w:val="1B3C51"/>
                <w:sz w:val="17"/>
              </w:rPr>
              <w:t>GESELECTEERDE RESULTATEN</w:t>
            </w:r>
          </w:p>
          <w:p>
            <w:pPr>
              <w:keepNext w:val="0"/>
              <w:keepLines w:val="0"/>
              <w:spacing w:after="12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6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6"/>
              </w:rPr>
              <w:t>Maandafsluiting met twee werkdagen verkort door rapportage-automatisering.</w:t>
            </w:r>
          </w:p>
          <w:p>
            <w:pPr>
              <w:keepNext w:val="0"/>
              <w:keepLines w:val="0"/>
              <w:spacing w:after="12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6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6"/>
              </w:rPr>
              <w:t>Commerciële stuurinformatie ontwikkeld voor marge, omzet en KPI's.</w:t>
            </w:r>
          </w:p>
          <w:p>
            <w:pPr>
              <w:keepNext w:val="0"/>
              <w:keepLines w:val="0"/>
              <w:spacing w:after="12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6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6"/>
              </w:rPr>
              <w:t>Forecastingproces aangescherpt naar een maandelijkse rolling forecast.</w:t>
            </w:r>
          </w:p>
          <w:p>
            <w:pPr>
              <w:keepNext w:val="0"/>
              <w:spacing w:before="20" w:after="50"/>
            </w:pPr>
            <w:r>
              <w:rPr>
                <w:rFonts w:ascii="Arial" w:hAnsi="Arial"/>
                <w:b/>
                <w:i w:val="0"/>
                <w:color w:val="1B3C51"/>
                <w:sz w:val="17"/>
              </w:rPr>
              <w:t>CONTROL &amp; COMPLIANCE</w:t>
            </w:r>
          </w:p>
          <w:p>
            <w:pPr>
              <w:keepNext w:val="0"/>
              <w:keepLines w:val="0"/>
              <w:spacing w:after="11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6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6"/>
              </w:rPr>
              <w:t>Aanspreekpunt voor externe accountant, jaarrekeningdossier en interne control-documentatie.</w:t>
            </w:r>
          </w:p>
          <w:p>
            <w:pPr>
              <w:keepNext w:val="0"/>
              <w:keepLines w:val="0"/>
              <w:spacing w:after="11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6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6"/>
              </w:rPr>
              <w:t>Periodieke afstemming met group finance over rapportagekalender en accountingvraagstukken.</w:t>
            </w:r>
          </w:p>
          <w:p>
            <w:pPr>
              <w:spacing w:before="20" w:after="56" w:line="240" w:lineRule="auto"/>
              <w:pBdr>
                <w:bottom w:val="single" w:sz="5" w:space="1" w:color="A7D9CF"/>
              </w:pBdr>
            </w:pPr>
          </w:p>
          <w:p>
            <w:pPr>
              <w:keepNext w:val="0"/>
              <w:spacing w:before="20" w:after="50"/>
            </w:pPr>
            <w:r>
              <w:rPr>
                <w:rFonts w:ascii="Arial" w:hAnsi="Arial"/>
                <w:b/>
                <w:i w:val="0"/>
                <w:color w:val="1B3C51"/>
                <w:sz w:val="17"/>
              </w:rPr>
              <w:t>OPLEIDING &amp; TRAINING</w:t>
            </w:r>
          </w:p>
          <w:p>
            <w:pPr>
              <w:spacing w:after="11"/>
            </w:pPr>
            <w:r>
              <w:rPr>
                <w:rFonts w:ascii="Arial" w:hAnsi="Arial"/>
                <w:b/>
                <w:i w:val="0"/>
                <w:color w:val="203550"/>
                <w:sz w:val="16"/>
              </w:rPr>
              <w:t>MSc Finance</w:t>
            </w:r>
            <w:r>
              <w:rPr>
                <w:rFonts w:ascii="Arial" w:hAnsi="Arial"/>
                <w:b w:val="0"/>
                <w:i w:val="0"/>
                <w:color w:val="6A7882"/>
                <w:sz w:val="15"/>
              </w:rPr>
              <w:t xml:space="preserve"> - Tilburg University | 2014 - 2016</w:t>
            </w:r>
          </w:p>
          <w:p>
            <w:pPr>
              <w:spacing w:after="11"/>
            </w:pPr>
            <w:r>
              <w:rPr>
                <w:rFonts w:ascii="Arial" w:hAnsi="Arial"/>
                <w:b/>
                <w:i w:val="0"/>
                <w:color w:val="203550"/>
                <w:sz w:val="16"/>
              </w:rPr>
              <w:t>BSc Bedrijfseconomie</w:t>
            </w:r>
            <w:r>
              <w:rPr>
                <w:rFonts w:ascii="Arial" w:hAnsi="Arial"/>
                <w:b w:val="0"/>
                <w:i w:val="0"/>
                <w:color w:val="6A7882"/>
                <w:sz w:val="15"/>
              </w:rPr>
              <w:t xml:space="preserve"> - Universiteit Utrecht | 2011 - 2014</w:t>
            </w:r>
          </w:p>
          <w:p>
            <w:pPr>
              <w:keepNext w:val="0"/>
              <w:keepLines w:val="0"/>
              <w:spacing w:after="9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5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5"/>
              </w:rPr>
              <w:t>Register Controller - modules Financial Reporting &amp; Control (2021-2022)</w:t>
            </w:r>
          </w:p>
          <w:p>
            <w:pPr>
              <w:keepNext w:val="0"/>
              <w:keepLines w:val="0"/>
              <w:spacing w:after="9" w:line="240" w:lineRule="auto"/>
              <w:ind w:left="187" w:hanging="130"/>
            </w:pPr>
            <w:r>
              <w:rPr>
                <w:rFonts w:ascii="Arial" w:hAnsi="Arial"/>
                <w:b/>
                <w:i w:val="0"/>
                <w:color w:val="009076"/>
                <w:sz w:val="15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03550"/>
                <w:sz w:val="15"/>
              </w:rPr>
              <w:t>Power BI for Finance (2020)</w:t>
            </w:r>
          </w:p>
          <w:p>
            <w:pPr>
              <w:keepNext w:val="0"/>
              <w:spacing w:before="20" w:after="50"/>
            </w:pPr>
            <w:r>
              <w:rPr>
                <w:rFonts w:ascii="Arial" w:hAnsi="Arial"/>
                <w:b/>
                <w:i w:val="0"/>
                <w:color w:val="1B3C51"/>
                <w:sz w:val="17"/>
              </w:rPr>
              <w:t>BESCHIKBAARHEID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6A7882"/>
                <w:sz w:val="15"/>
              </w:rPr>
              <w:t>36-40 uur | hybride | regio Utrecht / Amersfoort</w:t>
            </w:r>
          </w:p>
        </w:tc>
      </w:tr>
    </w:tbl>
    <w:p>
      <w:pPr>
        <w:spacing w:before="0" w:after="0" w:line="240" w:lineRule="auto"/>
      </w:pPr>
      <w:r>
        <w:rPr>
          <w:rFonts w:ascii="Arial" w:hAnsi="Arial"/>
          <w:b w:val="0"/>
          <w:i w:val="0"/>
          <w:color w:val="FFFFFF"/>
          <w:sz w:val="2"/>
        </w:rPr>
        <w:t xml:space="preserve"> </w:t>
      </w:r>
    </w:p>
    <w:sectPr w:rsidR="00FC693F" w:rsidRPr="0006063C" w:rsidSect="00034616">
      <w:footerReference w:type="default" r:id="rId9"/>
      <w:pgSz w:w="11909" w:h="16834"/>
      <w:pgMar w:top="432" w:right="490" w:bottom="432" w:left="490" w:header="144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