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52"/>
          <w:szCs w:val="52"/>
        </w:rPr>
        <w:t xml:space="preserve">Threat Intelligence Briefing</w:t>
      </w:r>
    </w:p>
    <w:p>
      <w:pPr>
        <w:spacing w:after="40"/>
        <w:jc w:val="center"/>
      </w:pPr>
      <w:r>
        <w:rPr>
          <w:b/>
          <w:bCs/>
        </w:rPr>
        <w:t xml:space="preserve">Sector: </w:t>
      </w:r>
      <w:r>
        <w:t xml:space="preserve">E-commerce / Shopify Merchants</w:t>
      </w:r>
    </w:p>
    <w:p>
      <w:pPr>
        <w:spacing w:after="40"/>
        <w:jc w:val="center"/>
      </w:pPr>
      <w:r>
        <w:rPr>
          <w:b/>
          <w:bCs/>
        </w:rPr>
        <w:t xml:space="preserve">Prepared for: </w:t>
      </w:r>
      <w:r>
        <w:t xml:space="preserve">[Client / Business Name]</w:t>
      </w:r>
    </w:p>
    <w:p>
      <w:pPr>
        <w:spacing w:after="40"/>
        <w:jc w:val="center"/>
      </w:pPr>
      <w:r>
        <w:rPr>
          <w:b/>
          <w:bCs/>
        </w:rPr>
        <w:t xml:space="preserve">Period: </w:t>
      </w:r>
      <w:r>
        <w:t xml:space="preserve">Q3 2026 (sample briefing)</w:t>
      </w:r>
    </w:p>
    <w:p>
      <w:pPr>
        <w:spacing w:after="300"/>
        <w:jc w:val="center"/>
      </w:pPr>
      <w:r>
        <w:rPr>
          <w:b/>
          <w:bCs/>
        </w:rPr>
        <w:t xml:space="preserve">Prepared by: </w:t>
      </w:r>
      <w:r>
        <w:t xml:space="preserve">[Your Name / Business Name]</w:t>
      </w:r>
    </w:p>
    <w:p>
      <w:pPr>
        <w:spacing w:after="120"/>
      </w:pPr>
      <w:r>
        <w:rPr>
          <w:i/>
          <w:iCs/>
        </w:rPr>
        <w:t xml:space="preserve">This is a sample briefing demonstrating the real service. All statistics and events cited below are from real, named, dated sources (listed at the end) — nothing here is simulated or AI-generated threat data.</w:t>
      </w:r>
    </w:p>
    <w:p>
      <w:r>
        <w:br w:type="page"/>
      </w:r>
    </w:p>
    <w:p>
      <w:pPr>
        <w:pStyle w:val="Heading1"/>
        <w:spacing w:after="150" w:before="300"/>
      </w:pPr>
      <w:r>
        <w:t xml:space="preserve">Executive Summary</w:t>
      </w:r>
    </w:p>
    <w:p>
      <w:pPr>
        <w:spacing w:after="120"/>
      </w:pPr>
      <w:r>
        <w:t xml:space="preserve">The threat picture for e-commerce merchants has shifted in 2026: refund and policy abuse has overtaken payment card fraud as the top-named threat for the first time on record, AI-driven fraud and phishing are up sharply across nearly every measure, and a large, long-running card-skimming campaign discovered in January 2026 is a reminder that checkout-page script security remains a live, exploitable gap for stores that haven't reviewed it. None of these require exotic defenses — they mostly come down to the basics: knowing what scripts run on your checkout page, watching for abuse patterns in refunds, and treating AI-enhanced phishing as a training problem, not just a filtering problem.</w:t>
      </w:r>
    </w:p>
    <w:p>
      <w:pPr>
        <w:pStyle w:val="Heading1"/>
        <w:spacing w:after="150" w:before="300"/>
      </w:pPr>
      <w:r>
        <w:t xml:space="preserve">1. Refund &amp; Policy Abuse Is Now the #1 Named Threat</w:t>
      </w:r>
    </w:p>
    <w:p>
      <w:pPr>
        <w:spacing w:after="120"/>
      </w:pPr>
      <w:r>
        <w:t xml:space="preserve">The Merchant Risk Council's 2026 Global eCommerce Payments &amp; Fraud Report (produced with Visa Acceptance Solutions) names refund and policy abuse as the top threat merchants report — the first time it has displaced payment card fraud since the report began tracking the category. This doesn't mean card fraud disappeared; it means fraud losses are increasingly concentrated in abused return/refund workflows, fake "item not received" claims, and social-engineering of customer service staff into approving illegitimate refunds.</w:t>
      </w:r>
    </w:p>
    <w:p>
      <w:pPr>
        <w:pStyle w:val="Heading2"/>
        <w:spacing w:after="100" w:before="220"/>
      </w:pPr>
      <w:r>
        <w:t xml:space="preserve">What this means for a store your size:</w:t>
      </w:r>
    </w:p>
    <w:p>
      <w:pPr>
        <w:pStyle w:val="ListParagraph"/>
        <w:numPr>
          <w:ilvl w:val="0"/>
          <w:numId w:val="1"/>
        </w:numPr>
        <w:spacing w:after="80"/>
      </w:pPr>
      <w:r>
        <w:t xml:space="preserve">Review your refund/return policy for obvious gaps (e.g. no proof-of-return requirement, no limits on repeat refund requests from the same customer).</w:t>
      </w:r>
    </w:p>
    <w:p>
      <w:pPr>
        <w:pStyle w:val="ListParagraph"/>
        <w:numPr>
          <w:ilvl w:val="0"/>
          <w:numId w:val="1"/>
        </w:numPr>
        <w:spacing w:after="80"/>
      </w:pPr>
      <w:r>
        <w:t xml:space="preserve">Train anyone handling customer service on recognizing social-engineering attempts around refunds — a friendly, convincing customer story is not proof of a legitimate claim.</w:t>
      </w:r>
    </w:p>
    <w:p>
      <w:pPr>
        <w:pStyle w:val="ListParagraph"/>
        <w:numPr>
          <w:ilvl w:val="0"/>
          <w:numId w:val="1"/>
        </w:numPr>
        <w:spacing w:after="80"/>
      </w:pPr>
      <w:r>
        <w:t xml:space="preserve">Track refund rate by customer/IP over time — a small number of accounts driving a disproportionate share of refunds is a real, checkable signal.</w:t>
      </w:r>
    </w:p>
    <w:p>
      <w:pPr>
        <w:spacing w:after="200"/>
      </w:pPr>
      <w:r>
        <w:rPr>
          <w:i/>
          <w:iCs/>
          <w:color w:val="64748B"/>
          <w:sz w:val="18"/>
          <w:szCs w:val="18"/>
        </w:rPr>
        <w:t xml:space="preserve">Source: Merchant Risk Council 2026 Global eCommerce Payments &amp; Fraud Report, with Visa Acceptance Solutions.</w:t>
      </w:r>
    </w:p>
    <w:p>
      <w:pPr>
        <w:pStyle w:val="Heading1"/>
        <w:spacing w:after="150" w:before="300"/>
      </w:pPr>
      <w:r>
        <w:t xml:space="preserve">2. AI-Driven Fraud and Phishing Are Accelerating Sharply</w:t>
      </w:r>
    </w:p>
    <w:p>
      <w:pPr>
        <w:spacing w:after="120"/>
      </w:pPr>
      <w:r>
        <w:t xml:space="preserve">Veriff's 2026 Fraud Industry Pulse Survey found that 74% of surveyed businesses reported an increase in online fraud year-over-year, with 75% specifically pointing to more AI-driven fraud attacks, and 78% expecting the threat to keep growing through the rest of 2026. Separately, TransUnion's H1 2026 fraud trends data found a 37% year-over-year increase in the suspected digital fraud rate tied specifically to account takeover. Kaspersky's 2026 retail outlook recorded roughly 6.65 million phishing events targeting payment and logistics ecosystems, with over half specifically targeting end users (i.e. your customers, not just your systems) rather than merchant infrastructure directly.</w:t>
      </w:r>
    </w:p>
    <w:p>
      <w:pPr>
        <w:pStyle w:val="Heading2"/>
        <w:spacing w:after="100" w:before="220"/>
      </w:pPr>
      <w:r>
        <w:t xml:space="preserve">What this means for a store your size:</w:t>
      </w:r>
    </w:p>
    <w:p>
      <w:pPr>
        <w:pStyle w:val="ListParagraph"/>
        <w:numPr>
          <w:ilvl w:val="0"/>
          <w:numId w:val="1"/>
        </w:numPr>
        <w:spacing w:after="80"/>
      </w:pPr>
      <w:r>
        <w:t xml:space="preserve">Assume some phishing attempts targeting your customers will look genuinely convincing — AI-generated fake order/shipping/support messages are now common and hard to distinguish from real ones by eye.</w:t>
      </w:r>
    </w:p>
    <w:p>
      <w:pPr>
        <w:pStyle w:val="ListParagraph"/>
        <w:numPr>
          <w:ilvl w:val="0"/>
          <w:numId w:val="1"/>
        </w:numPr>
        <w:spacing w:after="80"/>
      </w:pPr>
      <w:r>
        <w:t xml:space="preserve">Enforce MFA on your own admin account and any staff accounts — account takeover is the fastest-growing fraud category by TransUnion's data, and merchant admin accounts are a high-value target.</w:t>
      </w:r>
    </w:p>
    <w:p>
      <w:pPr>
        <w:pStyle w:val="ListParagraph"/>
        <w:numPr>
          <w:ilvl w:val="0"/>
          <w:numId w:val="1"/>
        </w:numPr>
        <w:spacing w:after="80"/>
      </w:pPr>
      <w:r>
        <w:t xml:space="preserve">This connects directly to the Access Control &amp; Authentication Audit service — a login/session review is the concrete, checkable defense against this trend, not a generic awareness poster.</w:t>
      </w:r>
    </w:p>
    <w:p>
      <w:pPr>
        <w:spacing w:after="200"/>
      </w:pPr>
      <w:r>
        <w:rPr>
          <w:i/>
          <w:iCs/>
          <w:color w:val="64748B"/>
          <w:sz w:val="18"/>
          <w:szCs w:val="18"/>
        </w:rPr>
        <w:t xml:space="preserve">Sources: Veriff Fraud Industry Pulse Survey 2026; TransUnion H1 2026 Fraud Trends Report; Kaspersky 2026 Retail Threat Outlook.</w:t>
      </w:r>
    </w:p>
    <w:p>
      <w:pPr>
        <w:pStyle w:val="Heading1"/>
        <w:spacing w:after="150" w:before="300"/>
      </w:pPr>
      <w:r>
        <w:t xml:space="preserve">3. Checkout-Page Script Skimming ("Magecart") — Still Active and Under-Addressed</w:t>
      </w:r>
    </w:p>
    <w:p>
      <w:pPr>
        <w:spacing w:after="120"/>
      </w:pPr>
      <w:r>
        <w:t xml:space="preserve">In January 2026, security researchers at Silent Push exposed a web-skimming campaign that had been running undetected since 2022, harvesting payment data from checkout pages across thousands of e-commerce sites by injecting obfuscated JavaScript that captures card details as customers type them, then erases its own traces. The campaign targeted six major payment networks. This class of attack ("Magecart" or web skimming) works by compromising any script that loads on the payment page — including third-party analytics, chat widgets, or review-app scripts that have nothing to do with payments themselves.</w:t>
      </w:r>
    </w:p>
    <w:p>
      <w:pPr>
        <w:spacing w:after="120"/>
      </w:pPr>
      <w:r>
        <w:t xml:space="preserve">This directly overlaps with the PCI DSS v4.0.1 script-authorization requirement (6.4.3) that took effect in March 2025 — precisely because this class of attack is common enough that the PCI Council built a specific control for it.</w:t>
      </w:r>
    </w:p>
    <w:p>
      <w:pPr>
        <w:pStyle w:val="Heading2"/>
        <w:spacing w:after="100" w:before="220"/>
      </w:pPr>
      <w:r>
        <w:t xml:space="preserve">What this means for a store your size:</w:t>
      </w:r>
    </w:p>
    <w:p>
      <w:pPr>
        <w:pStyle w:val="ListParagraph"/>
        <w:numPr>
          <w:ilvl w:val="0"/>
          <w:numId w:val="1"/>
        </w:numPr>
        <w:spacing w:after="80"/>
      </w:pPr>
      <w:r>
        <w:t xml:space="preserve">Audit every script that loads on your checkout page, including ones added by apps you installed for unrelated reasons (reviews, upsells, analytics, chat).</w:t>
      </w:r>
    </w:p>
    <w:p>
      <w:pPr>
        <w:pStyle w:val="ListParagraph"/>
        <w:numPr>
          <w:ilvl w:val="0"/>
          <w:numId w:val="1"/>
        </w:numPr>
        <w:spacing w:after="80"/>
      </w:pPr>
      <w:r>
        <w:t xml:space="preserve">This connects directly to Requirement 6.4.3 in the Compliance Readiness Checklist service — if you haven't reviewed this specifically, it's worth prioritizing over other PCI items.</w:t>
      </w:r>
    </w:p>
    <w:p>
      <w:pPr>
        <w:pStyle w:val="ListParagraph"/>
        <w:numPr>
          <w:ilvl w:val="0"/>
          <w:numId w:val="1"/>
        </w:numPr>
        <w:spacing w:after="80"/>
      </w:pPr>
      <w:r>
        <w:t xml:space="preserve">If you use Shopify's hosted checkout with no custom scripts, your exposure is much lower — but confirm that's actually true rather than assuming it, since a single analytics tag on the payment page changes this.</w:t>
      </w:r>
    </w:p>
    <w:p>
      <w:pPr>
        <w:spacing w:after="200"/>
      </w:pPr>
      <w:r>
        <w:rPr>
          <w:i/>
          <w:iCs/>
          <w:color w:val="64748B"/>
          <w:sz w:val="18"/>
          <w:szCs w:val="18"/>
        </w:rPr>
        <w:t xml:space="preserve">Sources: Silent Push research (January 2026); reporting by Malwarebytes and The Hacker News on the same campaign; PCI Security Standards Council PCI DSS v4.0.1.</w:t>
      </w:r>
    </w:p>
    <w:p>
      <w:pPr>
        <w:pStyle w:val="Heading1"/>
        <w:spacing w:after="150" w:before="300"/>
      </w:pPr>
      <w:r>
        <w:t xml:space="preserve">4. Ransomware and Vulnerability Exploitation Remain Core Breach Drivers</w:t>
      </w:r>
    </w:p>
    <w:p>
      <w:pPr>
        <w:spacing w:after="120"/>
      </w:pPr>
      <w:r>
        <w:t xml:space="preserve">The Verizon 2026 Data Breach Investigations Report found that 31% of analyzed breaches involved exploitation of a software vulnerability, and ransomware was present in 48% of incidents overall. For a small e-commerce operator, the practical takeaway isn't that ransomware specifically targets small stores at that rate — it's that unpatched software and known vulnerabilities remain one of the most common ways attackers get an initial foothold across the board, which is a directly addressable, checkable gap.</w:t>
      </w:r>
    </w:p>
    <w:p>
      <w:pPr>
        <w:pStyle w:val="Heading2"/>
        <w:spacing w:after="100" w:before="220"/>
      </w:pPr>
      <w:r>
        <w:t xml:space="preserve">What this means for a store your size:</w:t>
      </w:r>
    </w:p>
    <w:p>
      <w:pPr>
        <w:pStyle w:val="ListParagraph"/>
        <w:numPr>
          <w:ilvl w:val="0"/>
          <w:numId w:val="1"/>
        </w:numPr>
        <w:spacing w:after="80"/>
      </w:pPr>
      <w:r>
        <w:t xml:space="preserve">Keep any custom backend, plugins, or self-hosted components patched and current — this is the single highest-leverage, lowest-cost defense against the most common breach pathway.</w:t>
      </w:r>
    </w:p>
    <w:p>
      <w:pPr>
        <w:pStyle w:val="ListParagraph"/>
        <w:numPr>
          <w:ilvl w:val="0"/>
          <w:numId w:val="1"/>
        </w:numPr>
        <w:spacing w:after="80"/>
      </w:pPr>
      <w:r>
        <w:t xml:space="preserve">This connects directly to the Incident Response Plan service — having a plan ready matters precisely because vulnerability exploitation and ransomware remain common enough that "it won't happen to us" isn't a safe assumption.</w:t>
      </w:r>
    </w:p>
    <w:p>
      <w:pPr>
        <w:spacing w:after="200"/>
      </w:pPr>
      <w:r>
        <w:rPr>
          <w:i/>
          <w:iCs/>
          <w:color w:val="64748B"/>
          <w:sz w:val="18"/>
          <w:szCs w:val="18"/>
        </w:rPr>
        <w:t xml:space="preserve">Source: Verizon 2026 Data Breach Investigations Report.</w:t>
      </w:r>
    </w:p>
    <w:p>
      <w:pPr>
        <w:pStyle w:val="Heading1"/>
        <w:spacing w:after="150" w:before="300"/>
      </w:pPr>
      <w:r>
        <w:t xml:space="preserve">Recommended Priorities This Quarter</w:t>
      </w:r>
    </w:p>
    <w:p>
      <w:pPr>
        <w:pStyle w:val="ListParagraph"/>
        <w:numPr>
          <w:ilvl w:val="0"/>
          <w:numId w:val="1"/>
        </w:numPr>
        <w:spacing w:after="80"/>
      </w:pPr>
      <w:r>
        <w:t xml:space="preserve">1. Audit checkout-page scripts for anything not delivered directly by your payment processor (highest priority given the active January 2026 Magecart campaign).</w:t>
      </w:r>
    </w:p>
    <w:p>
      <w:pPr>
        <w:pStyle w:val="ListParagraph"/>
        <w:numPr>
          <w:ilvl w:val="0"/>
          <w:numId w:val="1"/>
        </w:numPr>
        <w:spacing w:after="80"/>
      </w:pPr>
      <w:r>
        <w:t xml:space="preserve">2. Enable/verify MFA on all admin and staff accounts.</w:t>
      </w:r>
    </w:p>
    <w:p>
      <w:pPr>
        <w:pStyle w:val="ListParagraph"/>
        <w:numPr>
          <w:ilvl w:val="0"/>
          <w:numId w:val="1"/>
        </w:numPr>
        <w:spacing w:after="80"/>
      </w:pPr>
      <w:r>
        <w:t xml:space="preserve">3. Review refund/return policy and look for abuse patterns in recent refund data.</w:t>
      </w:r>
    </w:p>
    <w:p>
      <w:pPr>
        <w:pStyle w:val="ListParagraph"/>
        <w:numPr>
          <w:ilvl w:val="0"/>
          <w:numId w:val="1"/>
        </w:numPr>
        <w:spacing w:after="80"/>
      </w:pPr>
      <w:r>
        <w:t xml:space="preserve">4. Confirm patch/update status on any self-hosted or custom components.</w:t>
      </w:r>
    </w:p>
    <w:p>
      <w:pPr>
        <w:pStyle w:val="Heading1"/>
        <w:spacing w:after="150" w:before="300"/>
      </w:pPr>
      <w:r>
        <w:t xml:space="preserve">Sources</w:t>
      </w:r>
    </w:p>
    <w:p>
      <w:pPr>
        <w:pStyle w:val="ListParagraph"/>
        <w:numPr>
          <w:ilvl w:val="0"/>
          <w:numId w:val="1"/>
        </w:numPr>
        <w:spacing w:after="80"/>
      </w:pPr>
      <w:r>
        <w:t xml:space="preserve">Merchant Risk Council &amp; Visa Acceptance Solutions — 2026 Global eCommerce Payments &amp; Fraud Report</w:t>
      </w:r>
    </w:p>
    <w:p>
      <w:pPr>
        <w:pStyle w:val="ListParagraph"/>
        <w:numPr>
          <w:ilvl w:val="0"/>
          <w:numId w:val="1"/>
        </w:numPr>
        <w:spacing w:after="80"/>
      </w:pPr>
      <w:r>
        <w:t xml:space="preserve">Veriff — Fraud Industry Pulse Survey 2026</w:t>
      </w:r>
    </w:p>
    <w:p>
      <w:pPr>
        <w:pStyle w:val="ListParagraph"/>
        <w:numPr>
          <w:ilvl w:val="0"/>
          <w:numId w:val="1"/>
        </w:numPr>
        <w:spacing w:after="80"/>
      </w:pPr>
      <w:r>
        <w:t xml:space="preserve">TransUnion — H1 2026 Fraud Trends Report</w:t>
      </w:r>
    </w:p>
    <w:p>
      <w:pPr>
        <w:pStyle w:val="ListParagraph"/>
        <w:numPr>
          <w:ilvl w:val="0"/>
          <w:numId w:val="1"/>
        </w:numPr>
        <w:spacing w:after="80"/>
      </w:pPr>
      <w:r>
        <w:t xml:space="preserve">Kaspersky — 2026 Retail Threat Outlook</w:t>
      </w:r>
    </w:p>
    <w:p>
      <w:pPr>
        <w:pStyle w:val="ListParagraph"/>
        <w:numPr>
          <w:ilvl w:val="0"/>
          <w:numId w:val="1"/>
        </w:numPr>
        <w:spacing w:after="80"/>
      </w:pPr>
      <w:r>
        <w:t xml:space="preserve">Silent Push — Magecart web-skimming campaign research, January 2026</w:t>
      </w:r>
    </w:p>
    <w:p>
      <w:pPr>
        <w:pStyle w:val="ListParagraph"/>
        <w:numPr>
          <w:ilvl w:val="0"/>
          <w:numId w:val="1"/>
        </w:numPr>
        <w:spacing w:after="80"/>
      </w:pPr>
      <w:r>
        <w:t xml:space="preserve">Malwarebytes and The Hacker News — reporting on the same Magecart campaign, January 2026</w:t>
      </w:r>
    </w:p>
    <w:p>
      <w:pPr>
        <w:pStyle w:val="ListParagraph"/>
        <w:numPr>
          <w:ilvl w:val="0"/>
          <w:numId w:val="1"/>
        </w:numPr>
        <w:spacing w:after="80"/>
      </w:pPr>
      <w:r>
        <w:t xml:space="preserve">PCI Security Standards Council — PCI DSS v4.0.1, Requirement 6.4.3 (effective March 2025)</w:t>
      </w:r>
    </w:p>
    <w:p>
      <w:pPr>
        <w:pStyle w:val="ListParagraph"/>
        <w:numPr>
          <w:ilvl w:val="0"/>
          <w:numId w:val="1"/>
        </w:numPr>
        <w:spacing w:after="80"/>
      </w:pPr>
      <w:r>
        <w:t xml:space="preserve">Verizon — 2026 Data Breach Investigations Report</w:t>
      </w:r>
    </w:p>
    <w:p>
      <w:pPr>
        <w:spacing w:after="120"/>
      </w:pPr>
      <w:r>
        <w:rPr>
          <w:i/>
          <w:iCs/>
          <w:sz w:val="18"/>
          <w:szCs w:val="18"/>
        </w:rPr>
        <w:t xml:space="preserve">This briefing reflects publicly available research as of its preparation date. It is a snapshot, not a live feed — treat it as context for prioritization alongside your own audits (Access Control Audit, Honeypot Monitoring) which assess your specific systems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2026-07-29T12:13:18.688Z</dcterms:created>
  <dcterms:modified xsi:type="dcterms:W3CDTF">2026-07-29T12:13:18.702Z</dcterms:modified>
</cp:coreProperties>
</file>

<file path=docProps/custom.xml><?xml version="1.0" encoding="utf-8"?>
<Properties xmlns="http://schemas.openxmlformats.org/officeDocument/2006/custom-properties" xmlns:vt="http://schemas.openxmlformats.org/officeDocument/2006/docPropsVTypes"/>
</file>