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-283845</wp:posOffset>
            </wp:positionH>
            <wp:positionV relativeFrom="paragraph">
              <wp:posOffset>45720</wp:posOffset>
            </wp:positionV>
            <wp:extent cx="6840220" cy="4559935"/>
            <wp:effectExtent l="0" t="0" r="0" b="0"/>
            <wp:wrapTopAndBottom/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 xml:space="preserve">Genes expected UP in macrophages 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526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2"/>
        <w:gridCol w:w="3602"/>
      </w:tblGrid>
      <w:tr>
        <w:trPr>
          <w:tblHeader w:val="true"/>
        </w:trPr>
        <w:tc>
          <w:tcPr>
            <w:tcW w:w="1662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Gene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Why useful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Adgre1 (F4/80)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Classic mouse macrophage marker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Csf1r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Macrophage lineage receptor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Lyz2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Strong myeloid/macrophage marker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Ctss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Antigen processing in macrophages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Tyrobp</w:t>
            </w:r>
          </w:p>
        </w:tc>
        <w:tc>
          <w:tcPr>
            <w:tcW w:w="3602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Myeloid immune signaling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Genes expected UP in MPP (multpotential progenitors)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46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9"/>
        <w:gridCol w:w="3348"/>
      </w:tblGrid>
      <w:tr>
        <w:trPr>
          <w:tblHeader w:val="true"/>
        </w:trPr>
        <w:tc>
          <w:tcPr>
            <w:tcW w:w="1319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Gene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Why useful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Kit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Stem/progenitor marker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Ly6a (Sca1)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Hematopoietic progenitor marker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Flt3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Early progenitor marker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Genes expected UP in erythrocites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54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8"/>
        <w:gridCol w:w="3635"/>
      </w:tblGrid>
      <w:tr>
        <w:trPr>
          <w:tblHeader w:val="true"/>
        </w:trPr>
        <w:tc>
          <w:tcPr>
            <w:tcW w:w="1818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Gene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Titolotabella"/>
              <w:widowControl w:val="false"/>
              <w:bidi w:val="0"/>
              <w:rPr>
                <w:lang w:val="en-US"/>
              </w:rPr>
            </w:pPr>
            <w:r>
              <w:rPr>
                <w:lang w:val="en-US"/>
              </w:rPr>
              <w:t>Why useful</w:t>
            </w:r>
          </w:p>
        </w:tc>
      </w:tr>
      <w:tr>
        <w:trPr/>
        <w:tc>
          <w:tcPr>
            <w:tcW w:w="1818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Hbb-bs / Hbb-bt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Hemoglobin beta chains</w:t>
            </w:r>
          </w:p>
        </w:tc>
      </w:tr>
      <w:tr>
        <w:trPr/>
        <w:tc>
          <w:tcPr>
            <w:tcW w:w="1818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Hba-a1 / Hba-a2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Hemoglobin alpha chains</w:t>
            </w:r>
          </w:p>
        </w:tc>
      </w:tr>
      <w:tr>
        <w:trPr/>
        <w:tc>
          <w:tcPr>
            <w:tcW w:w="1818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Alas2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Erythroid heme synthesis</w:t>
            </w:r>
          </w:p>
        </w:tc>
      </w:tr>
      <w:tr>
        <w:trPr/>
        <w:tc>
          <w:tcPr>
            <w:tcW w:w="1818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Gata1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Master erythroid transcription factor</w:t>
            </w:r>
          </w:p>
        </w:tc>
      </w:tr>
      <w:tr>
        <w:trPr/>
        <w:tc>
          <w:tcPr>
            <w:tcW w:w="1818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  <w:lang w:val="en-US"/>
              </w:rPr>
              <w:t>Epor</w:t>
            </w:r>
          </w:p>
        </w:tc>
        <w:tc>
          <w:tcPr>
            <w:tcW w:w="3635" w:type="dxa"/>
            <w:tcBorders/>
            <w:vAlign w:val="center"/>
          </w:tcPr>
          <w:p>
            <w:pPr>
              <w:pStyle w:val="Contenutotabella"/>
              <w:widowControl w:val="false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Erythropoietin receptor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Genes expected UP in B cells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45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9"/>
        <w:gridCol w:w="2901"/>
      </w:tblGrid>
      <w:tr>
        <w:trPr>
          <w:tblHeader w:val="true"/>
        </w:trPr>
        <w:tc>
          <w:tcPr>
            <w:tcW w:w="1599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Marker gene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Biological meaning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Cd79a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B-cell receptor complex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Ms4a1 (CD20)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Mature B-cell marker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Cd37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B-cell surface protein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Cd74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MHC II antigen presentation</w:t>
            </w:r>
          </w:p>
        </w:tc>
      </w:tr>
      <w:tr>
        <w:trPr/>
        <w:tc>
          <w:tcPr>
            <w:tcW w:w="1599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H2-Ab1</w:t>
            </w:r>
          </w:p>
        </w:tc>
        <w:tc>
          <w:tcPr>
            <w:tcW w:w="2901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MHC II molecule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Genes expected UP in NK cells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48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85"/>
        <w:gridCol w:w="3015"/>
      </w:tblGrid>
      <w:tr>
        <w:trPr>
          <w:tblHeader w:val="true"/>
        </w:trPr>
        <w:tc>
          <w:tcPr>
            <w:tcW w:w="1785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Marker gene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Biological meaning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Nkg7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Cytotoxic lymphocyte marker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Klrd1 (CD94)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NK-cell receptor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Klrk1 (NKG2D)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NK activation receptor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Prf1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Cytotoxic granule protein</w:t>
            </w:r>
          </w:p>
        </w:tc>
      </w:tr>
      <w:tr>
        <w:trPr/>
        <w:tc>
          <w:tcPr>
            <w:tcW w:w="178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Gzmb</w:t>
            </w:r>
          </w:p>
        </w:tc>
        <w:tc>
          <w:tcPr>
            <w:tcW w:w="3015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left"/>
              <w:rPr/>
            </w:pPr>
            <w:r>
              <w:rPr/>
              <w:t>Granzyme/cytotoxic function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>POSSIBLE IDENTITIES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tbl>
      <w:tblPr>
        <w:tblW w:w="94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0"/>
        <w:gridCol w:w="7932"/>
      </w:tblGrid>
      <w:tr>
        <w:trPr>
          <w:tblHeader w:val="true"/>
        </w:trPr>
        <w:tc>
          <w:tcPr>
            <w:tcW w:w="1560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Cell type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Titolotabella"/>
              <w:widowControl w:val="false"/>
              <w:suppressLineNumbers/>
              <w:bidi w:val="0"/>
              <w:jc w:val="center"/>
              <w:rPr/>
            </w:pPr>
            <w:r>
              <w:rPr/>
              <w:t>Positive markers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Macrophage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 xml:space="preserve">Adgre1 </w:t>
            </w:r>
            <w:r>
              <w:rPr/>
              <w:t>(ENSMUSG00000004730)</w:t>
            </w:r>
            <w:r>
              <w:rPr/>
              <w:t xml:space="preserve">, Csf1r </w:t>
            </w:r>
            <w:r>
              <w:rPr/>
              <w:t>(ENSMUSG00000024621)</w:t>
            </w:r>
            <w:r>
              <w:rPr/>
              <w:t xml:space="preserve">, Lyz2 </w:t>
            </w:r>
            <w:r>
              <w:rPr/>
              <w:t>(ENSMUSG00000069516)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Erythrocyte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 xml:space="preserve">Hbb </w:t>
            </w:r>
            <w:r>
              <w:rPr/>
              <w:t>(ENSMUSG00000085700)</w:t>
            </w:r>
            <w:r>
              <w:rPr/>
              <w:t xml:space="preserve">, Alas2 </w:t>
            </w:r>
            <w:r>
              <w:rPr/>
              <w:t>(ENSMUSG00000025270)</w:t>
            </w:r>
            <w:r>
              <w:rPr/>
              <w:t xml:space="preserve">, Gata1 </w:t>
            </w:r>
            <w:r>
              <w:rPr/>
              <w:t>(ENSMUSG00000031162)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B cell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 xml:space="preserve">Cd79a </w:t>
            </w:r>
            <w:r>
              <w:rPr/>
              <w:t>(ENSMUSG00000003379)</w:t>
            </w:r>
            <w:r>
              <w:rPr/>
              <w:t xml:space="preserve">, Ms4a1 </w:t>
            </w:r>
            <w:r>
              <w:rPr/>
              <w:t>(ENSMUSG00000024673)</w:t>
            </w:r>
            <w:r>
              <w:rPr/>
              <w:t xml:space="preserve">, Cd74 </w:t>
            </w:r>
            <w:r>
              <w:rPr/>
              <w:t>(ENSMUSG00000024610)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NK cell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 xml:space="preserve">Nkg7 </w:t>
            </w:r>
            <w:r>
              <w:rPr/>
              <w:t>(ENSMUSG00000004612)</w:t>
            </w:r>
            <w:r>
              <w:rPr/>
              <w:t xml:space="preserve">, Klrd1 </w:t>
            </w:r>
            <w:r>
              <w:rPr/>
              <w:t>(ENSMUSG00000030165)</w:t>
            </w:r>
            <w:r>
              <w:rPr/>
              <w:t xml:space="preserve">, Prf1 </w:t>
            </w:r>
            <w:r>
              <w:rPr/>
              <w:t>(ENSMUSG00000037202)</w:t>
            </w:r>
          </w:p>
        </w:tc>
      </w:tr>
      <w:tr>
        <w:trPr/>
        <w:tc>
          <w:tcPr>
            <w:tcW w:w="1560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Multipotent progenitor</w:t>
            </w:r>
          </w:p>
        </w:tc>
        <w:tc>
          <w:tcPr>
            <w:tcW w:w="7932" w:type="dxa"/>
            <w:tcBorders/>
            <w:vAlign w:val="center"/>
          </w:tcPr>
          <w:p>
            <w:pPr>
              <w:pStyle w:val="Contenutotabella"/>
              <w:widowControl w:val="false"/>
              <w:suppressLineNumbers/>
              <w:bidi w:val="0"/>
              <w:jc w:val="center"/>
              <w:rPr/>
            </w:pPr>
            <w:r>
              <w:rPr/>
              <w:t>Kit (ENSMUSG00000005672), Ly6a (ENSMUSG00000075602), Flt3 (ENSMUSG00000042817)</w:t>
            </w:r>
          </w:p>
        </w:tc>
      </w:tr>
    </w:tbl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DATASET 1 ____________________________________________________________________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DATASET 2 ____________________________________________________________________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  <w:t>DATASET 3 ____________________________________________________________________</w:t>
      </w:r>
    </w:p>
    <w:p>
      <w:pPr>
        <w:pStyle w:val="Normal"/>
        <w:bidi w:val="0"/>
        <w:jc w:val="left"/>
        <w:rPr>
          <w:lang w:val="en-U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1">
    <w:name w:val="Heading 1"/>
    <w:basedOn w:val="Titolo"/>
    <w:next w:val="Corpodeltes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LibreOffice/7.5.2.2$Windows_X86_64 LibreOffice_project/53bb9681a964705cf672590721dbc85eb4d0c3a2</Application>
  <AppVersion>15.0000</AppVersion>
  <Pages>3</Pages>
  <Words>200</Words>
  <Characters>1625</Characters>
  <CharactersWithSpaces>1749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2026-07-07T13:51:37Z</dcterms:created>
  <dc:creator/>
  <dc:description/>
  <dc:language>it-IT</dc:language>
  <cp:lastModifiedBy/>
  <dcterms:modified xsi:type="dcterms:W3CDTF">2026-07-07T18:49:08Z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